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07" w:rsidRDefault="007C208E" w:rsidP="00355B2A">
      <w:r>
        <w:t>Ranking for</w:t>
      </w:r>
      <w:r w:rsidR="00355B2A">
        <w:t xml:space="preserve"> report types:</w:t>
      </w:r>
    </w:p>
    <w:p w:rsidR="00355B2A" w:rsidRDefault="001E76A7" w:rsidP="001E76A7">
      <w:pPr>
        <w:ind w:hanging="567"/>
      </w:pPr>
      <w:r>
        <w:rPr>
          <w:noProof/>
          <w:lang w:val="en-US" w:eastAsia="en-US"/>
        </w:rPr>
        <w:drawing>
          <wp:inline distT="0" distB="0" distL="0" distR="0">
            <wp:extent cx="5731510" cy="3937000"/>
            <wp:effectExtent l="0" t="0" r="2540" b="63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355B2A" w:rsidRDefault="00567DC5" w:rsidP="00593926">
      <w:pPr>
        <w:jc w:val="both"/>
      </w:pPr>
      <w:r>
        <w:t>The plot and counts indicates that the time expended might just be aligned with the volume of report</w:t>
      </w:r>
      <w:r w:rsidR="00E60928">
        <w:t xml:space="preserve">. </w:t>
      </w:r>
      <w:r>
        <w:t xml:space="preserve">This indicates that ‘Balances’ might just require further investigations as the quantity of report produced in proportion to time expended is the problem. </w:t>
      </w:r>
    </w:p>
    <w:p w:rsidR="00567DC5" w:rsidRDefault="00567DC5" w:rsidP="00593926">
      <w:pPr>
        <w:jc w:val="both"/>
      </w:pPr>
      <w:r>
        <w:t>Top contributors to time loss:</w:t>
      </w:r>
    </w:p>
    <w:p w:rsidR="00567DC5" w:rsidRDefault="00567DC5" w:rsidP="00593926">
      <w:pPr>
        <w:pStyle w:val="ListParagraph"/>
        <w:numPr>
          <w:ilvl w:val="0"/>
          <w:numId w:val="2"/>
        </w:numPr>
        <w:jc w:val="both"/>
      </w:pPr>
      <w:r>
        <w:t xml:space="preserve">Error Type </w:t>
      </w:r>
      <w:r w:rsidR="009D61AB">
        <w:t>–</w:t>
      </w:r>
      <w:r>
        <w:t xml:space="preserve"> </w:t>
      </w:r>
      <w:r w:rsidR="009D61AB">
        <w:t>Duplicated Data, Aggregated Data</w:t>
      </w:r>
    </w:p>
    <w:p w:rsidR="00567DC5" w:rsidRDefault="00567DC5" w:rsidP="00593926">
      <w:pPr>
        <w:pStyle w:val="ListParagraph"/>
        <w:numPr>
          <w:ilvl w:val="0"/>
          <w:numId w:val="2"/>
        </w:numPr>
        <w:jc w:val="both"/>
      </w:pPr>
      <w:r>
        <w:t>Department Type – Production Planning</w:t>
      </w:r>
      <w:r w:rsidR="009D61AB">
        <w:t>, Production Department</w:t>
      </w:r>
    </w:p>
    <w:p w:rsidR="00567DC5" w:rsidRDefault="00567DC5" w:rsidP="00593926">
      <w:pPr>
        <w:pStyle w:val="ListParagraph"/>
        <w:numPr>
          <w:ilvl w:val="0"/>
          <w:numId w:val="2"/>
        </w:numPr>
        <w:jc w:val="both"/>
      </w:pPr>
      <w:r>
        <w:t xml:space="preserve">Report Type </w:t>
      </w:r>
      <w:r w:rsidR="009D61AB">
        <w:t>–</w:t>
      </w:r>
      <w:r>
        <w:t xml:space="preserve"> Balances</w:t>
      </w:r>
      <w:r w:rsidR="009D61AB">
        <w:t>, Production Volume</w:t>
      </w:r>
    </w:p>
    <w:p w:rsidR="00355B2A" w:rsidRPr="00567DC5" w:rsidRDefault="00567DC5" w:rsidP="00593926">
      <w:pPr>
        <w:jc w:val="both"/>
        <w:rPr>
          <w:b/>
        </w:rPr>
      </w:pPr>
      <w:r w:rsidRPr="00567DC5">
        <w:rPr>
          <w:b/>
        </w:rPr>
        <w:t xml:space="preserve">Hypothesis </w:t>
      </w:r>
      <w:r w:rsidR="00E60928" w:rsidRPr="00567DC5">
        <w:rPr>
          <w:b/>
        </w:rPr>
        <w:t>Testing</w:t>
      </w:r>
      <w:r w:rsidR="00593926">
        <w:rPr>
          <w:b/>
        </w:rPr>
        <w:t xml:space="preserve"> Q1</w:t>
      </w:r>
      <w:r w:rsidR="00E60928" w:rsidRPr="00567DC5">
        <w:rPr>
          <w:b/>
        </w:rPr>
        <w:t>:</w:t>
      </w:r>
    </w:p>
    <w:p w:rsidR="00AC769C" w:rsidRDefault="00F71665" w:rsidP="00593926">
      <w:pPr>
        <w:jc w:val="both"/>
      </w:pPr>
      <w:r>
        <w:t xml:space="preserve">Null hypothesis = Number of entries in </w:t>
      </w:r>
      <w:r w:rsidR="009D61AB">
        <w:t>Error G</w:t>
      </w:r>
      <w:r>
        <w:t>roup 1 &gt; Number of entries in</w:t>
      </w:r>
      <w:r w:rsidR="007E7083">
        <w:t xml:space="preserve"> Error</w:t>
      </w:r>
      <w:r>
        <w:t xml:space="preserve"> </w:t>
      </w:r>
      <w:r w:rsidR="009D61AB">
        <w:t>G</w:t>
      </w:r>
      <w:r w:rsidR="00A4028B">
        <w:t>roup 2</w:t>
      </w:r>
    </w:p>
    <w:p w:rsidR="00A4028B" w:rsidRDefault="00593926" w:rsidP="00593926">
      <w:pPr>
        <w:jc w:val="both"/>
      </w:pPr>
      <w:r>
        <w:t xml:space="preserve">Alternative hypothesis = Number of entries in Group 1 &lt; Number of entries in </w:t>
      </w:r>
      <w:r w:rsidR="007E7083">
        <w:t xml:space="preserve">Error </w:t>
      </w:r>
      <w:r>
        <w:t>Group 2</w:t>
      </w:r>
    </w:p>
    <w:tbl>
      <w:tblPr>
        <w:tblW w:w="8793" w:type="dxa"/>
        <w:tblLook w:val="04A0"/>
      </w:tblPr>
      <w:tblGrid>
        <w:gridCol w:w="272"/>
        <w:gridCol w:w="3239"/>
        <w:gridCol w:w="33"/>
        <w:gridCol w:w="937"/>
        <w:gridCol w:w="197"/>
        <w:gridCol w:w="450"/>
        <w:gridCol w:w="1666"/>
        <w:gridCol w:w="6"/>
        <w:gridCol w:w="1993"/>
      </w:tblGrid>
      <w:tr w:rsidR="00F71665" w:rsidRPr="00F71665" w:rsidTr="00B81A3E">
        <w:trPr>
          <w:trHeight w:val="276"/>
        </w:trPr>
        <w:tc>
          <w:tcPr>
            <w:tcW w:w="87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8522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542"/>
            </w:tblGrid>
            <w:tr w:rsidR="00F71665" w:rsidRPr="00593926" w:rsidTr="00B81A3E">
              <w:trPr>
                <w:trHeight w:val="317"/>
                <w:tblCellSpacing w:w="0" w:type="dxa"/>
              </w:trPr>
              <w:tc>
                <w:tcPr>
                  <w:tcW w:w="8522" w:type="dxa"/>
                  <w:shd w:val="clear" w:color="auto" w:fill="auto"/>
                  <w:noWrap/>
                  <w:vAlign w:val="bottom"/>
                  <w:hideMark/>
                </w:tcPr>
                <w:p w:rsidR="00F71665" w:rsidRPr="00593926" w:rsidRDefault="00F71665" w:rsidP="00F716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6"/>
                    </w:rPr>
                  </w:pPr>
                  <w:r w:rsidRPr="00593926">
                    <w:rPr>
                      <w:rFonts w:ascii="Arial" w:eastAsia="Times New Roman" w:hAnsi="Arial" w:cs="Arial"/>
                      <w:b/>
                      <w:bCs/>
                      <w:sz w:val="14"/>
                      <w:szCs w:val="16"/>
                    </w:rPr>
                    <w:t>2 Proportions Test and Confidence Interval</w:t>
                  </w:r>
                </w:p>
              </w:tc>
            </w:tr>
          </w:tbl>
          <w:p w:rsidR="00F71665" w:rsidRPr="00593926" w:rsidRDefault="00F71665" w:rsidP="00F7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</w:p>
        </w:tc>
      </w:tr>
      <w:tr w:rsidR="00B81A3E" w:rsidRPr="00F71665" w:rsidTr="00B81A3E">
        <w:trPr>
          <w:trHeight w:val="253"/>
        </w:trPr>
        <w:tc>
          <w:tcPr>
            <w:tcW w:w="467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F71665" w:rsidRPr="00593926" w:rsidRDefault="00F71665" w:rsidP="00F716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593926">
              <w:rPr>
                <w:rFonts w:ascii="Arial" w:eastAsia="Times New Roman" w:hAnsi="Arial" w:cs="Arial"/>
                <w:bCs/>
                <w:sz w:val="14"/>
                <w:szCs w:val="16"/>
              </w:rPr>
              <w:t>Sample Data (user inputs):</w:t>
            </w:r>
          </w:p>
        </w:tc>
        <w:tc>
          <w:tcPr>
            <w:tcW w:w="21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71665" w:rsidRPr="00593926" w:rsidRDefault="00F71665" w:rsidP="00F716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593926">
              <w:rPr>
                <w:rFonts w:ascii="Arial" w:eastAsia="Times New Roman" w:hAnsi="Arial" w:cs="Arial"/>
                <w:bCs/>
                <w:sz w:val="14"/>
                <w:szCs w:val="16"/>
              </w:rPr>
              <w:t>Sample 1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71665" w:rsidRPr="00593926" w:rsidRDefault="00F71665" w:rsidP="00F716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593926">
              <w:rPr>
                <w:rFonts w:ascii="Arial" w:eastAsia="Times New Roman" w:hAnsi="Arial" w:cs="Arial"/>
                <w:bCs/>
                <w:sz w:val="14"/>
                <w:szCs w:val="16"/>
              </w:rPr>
              <w:t>Sample 2</w:t>
            </w:r>
          </w:p>
        </w:tc>
      </w:tr>
      <w:tr w:rsidR="00B81A3E" w:rsidRPr="00F71665" w:rsidTr="00B81A3E">
        <w:trPr>
          <w:trHeight w:val="264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65" w:rsidRPr="00593926" w:rsidRDefault="00F71665" w:rsidP="00F716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593926">
              <w:rPr>
                <w:rFonts w:ascii="Arial" w:eastAsia="Times New Roman" w:hAnsi="Arial" w:cs="Arial"/>
                <w:bCs/>
                <w:sz w:val="14"/>
                <w:szCs w:val="16"/>
              </w:rPr>
              <w:t>Number of Events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665" w:rsidRPr="00593926" w:rsidRDefault="00F71665" w:rsidP="00F716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593926">
              <w:rPr>
                <w:rFonts w:ascii="Arial" w:eastAsia="Times New Roman" w:hAnsi="Arial" w:cs="Arial"/>
                <w:bCs/>
                <w:sz w:val="14"/>
                <w:szCs w:val="16"/>
              </w:rPr>
              <w:t>x</w:t>
            </w:r>
          </w:p>
        </w:tc>
        <w:tc>
          <w:tcPr>
            <w:tcW w:w="212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1665" w:rsidRPr="00593926" w:rsidRDefault="00F71665" w:rsidP="00F716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bookmarkStart w:id="1" w:name="RANGE!G5"/>
            <w:r w:rsidRPr="00593926">
              <w:rPr>
                <w:rFonts w:ascii="Arial" w:eastAsia="Times New Roman" w:hAnsi="Arial" w:cs="Arial"/>
                <w:bCs/>
                <w:sz w:val="14"/>
                <w:szCs w:val="16"/>
              </w:rPr>
              <w:t>1</w:t>
            </w:r>
            <w:bookmarkEnd w:id="1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1665" w:rsidRPr="00593926" w:rsidRDefault="00F71665" w:rsidP="00F716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bookmarkStart w:id="2" w:name="RANGE!H5"/>
            <w:r w:rsidRPr="00593926">
              <w:rPr>
                <w:rFonts w:ascii="Arial" w:eastAsia="Times New Roman" w:hAnsi="Arial" w:cs="Arial"/>
                <w:bCs/>
                <w:sz w:val="14"/>
                <w:szCs w:val="16"/>
              </w:rPr>
              <w:t>2</w:t>
            </w:r>
            <w:bookmarkEnd w:id="2"/>
          </w:p>
        </w:tc>
      </w:tr>
      <w:tr w:rsidR="00B81A3E" w:rsidRPr="00F71665" w:rsidTr="00B81A3E">
        <w:trPr>
          <w:trHeight w:val="264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65" w:rsidRPr="00593926" w:rsidRDefault="00F71665" w:rsidP="00F716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593926">
              <w:rPr>
                <w:rFonts w:ascii="Arial" w:eastAsia="Times New Roman" w:hAnsi="Arial" w:cs="Arial"/>
                <w:bCs/>
                <w:sz w:val="14"/>
                <w:szCs w:val="16"/>
              </w:rPr>
              <w:t>Sample Size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65" w:rsidRPr="00593926" w:rsidRDefault="00F71665" w:rsidP="00F716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593926">
              <w:rPr>
                <w:rFonts w:ascii="Arial" w:eastAsia="Times New Roman" w:hAnsi="Arial" w:cs="Arial"/>
                <w:bCs/>
                <w:sz w:val="14"/>
                <w:szCs w:val="16"/>
              </w:rPr>
              <w:t>n</w:t>
            </w:r>
          </w:p>
        </w:tc>
        <w:tc>
          <w:tcPr>
            <w:tcW w:w="21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1665" w:rsidRPr="00593926" w:rsidRDefault="00F71665" w:rsidP="00F716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bookmarkStart w:id="3" w:name="RANGE!G6"/>
            <w:r w:rsidRPr="00593926">
              <w:rPr>
                <w:rFonts w:ascii="Arial" w:eastAsia="Times New Roman" w:hAnsi="Arial" w:cs="Arial"/>
                <w:bCs/>
                <w:sz w:val="14"/>
                <w:szCs w:val="16"/>
              </w:rPr>
              <w:t>10</w:t>
            </w:r>
            <w:bookmarkEnd w:id="3"/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1665" w:rsidRPr="00593926" w:rsidRDefault="00F71665" w:rsidP="00F716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bookmarkStart w:id="4" w:name="RANGE!H6"/>
            <w:r w:rsidRPr="00593926">
              <w:rPr>
                <w:rFonts w:ascii="Arial" w:eastAsia="Times New Roman" w:hAnsi="Arial" w:cs="Arial"/>
                <w:bCs/>
                <w:sz w:val="14"/>
                <w:szCs w:val="16"/>
              </w:rPr>
              <w:t>10</w:t>
            </w:r>
            <w:bookmarkEnd w:id="4"/>
          </w:p>
        </w:tc>
      </w:tr>
      <w:tr w:rsidR="00B81A3E" w:rsidRPr="00F71665" w:rsidTr="00B81A3E">
        <w:trPr>
          <w:trHeight w:val="253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65" w:rsidRPr="00593926" w:rsidRDefault="00F71665" w:rsidP="00F716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593926">
              <w:rPr>
                <w:rFonts w:ascii="Arial" w:eastAsia="Times New Roman" w:hAnsi="Arial" w:cs="Arial"/>
                <w:bCs/>
                <w:sz w:val="14"/>
                <w:szCs w:val="16"/>
              </w:rPr>
              <w:t>Null Hypothesis (hypothesized difference)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665" w:rsidRPr="00593926" w:rsidRDefault="00F71665" w:rsidP="00F716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593926">
              <w:rPr>
                <w:rFonts w:ascii="Arial" w:eastAsia="Times New Roman" w:hAnsi="Arial" w:cs="Arial"/>
                <w:bCs/>
                <w:sz w:val="14"/>
                <w:szCs w:val="16"/>
              </w:rPr>
              <w:t>H</w:t>
            </w:r>
            <w:r w:rsidRPr="00593926">
              <w:rPr>
                <w:rFonts w:ascii="Arial" w:eastAsia="Times New Roman" w:hAnsi="Arial" w:cs="Arial"/>
                <w:bCs/>
                <w:sz w:val="14"/>
                <w:szCs w:val="16"/>
                <w:vertAlign w:val="subscript"/>
              </w:rPr>
              <w:t>0</w:t>
            </w:r>
            <w:r w:rsidRPr="00593926">
              <w:rPr>
                <w:rFonts w:ascii="Arial" w:eastAsia="Times New Roman" w:hAnsi="Arial" w:cs="Arial"/>
                <w:bCs/>
                <w:sz w:val="14"/>
                <w:szCs w:val="16"/>
              </w:rPr>
              <w:t>: P</w:t>
            </w:r>
            <w:r w:rsidRPr="00593926">
              <w:rPr>
                <w:rFonts w:ascii="Arial" w:eastAsia="Times New Roman" w:hAnsi="Arial" w:cs="Arial"/>
                <w:bCs/>
                <w:sz w:val="14"/>
                <w:szCs w:val="16"/>
                <w:vertAlign w:val="subscript"/>
              </w:rPr>
              <w:t>1</w:t>
            </w:r>
            <w:r w:rsidRPr="00593926">
              <w:rPr>
                <w:rFonts w:ascii="Arial" w:eastAsia="Times New Roman" w:hAnsi="Arial" w:cs="Arial"/>
                <w:bCs/>
                <w:sz w:val="14"/>
                <w:szCs w:val="16"/>
              </w:rPr>
              <w:t xml:space="preserve"> - P</w:t>
            </w:r>
            <w:r w:rsidRPr="00593926">
              <w:rPr>
                <w:rFonts w:ascii="Arial" w:eastAsia="Times New Roman" w:hAnsi="Arial" w:cs="Arial"/>
                <w:bCs/>
                <w:sz w:val="14"/>
                <w:szCs w:val="16"/>
                <w:vertAlign w:val="subscript"/>
              </w:rPr>
              <w:t>2</w:t>
            </w:r>
            <w:r w:rsidRPr="00593926">
              <w:rPr>
                <w:rFonts w:ascii="Arial" w:eastAsia="Times New Roman" w:hAnsi="Arial" w:cs="Arial"/>
                <w:bCs/>
                <w:sz w:val="14"/>
                <w:szCs w:val="16"/>
              </w:rPr>
              <w:t xml:space="preserve"> =</w:t>
            </w:r>
          </w:p>
        </w:tc>
        <w:tc>
          <w:tcPr>
            <w:tcW w:w="403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1665" w:rsidRPr="00593926" w:rsidRDefault="00F71665" w:rsidP="00F716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bookmarkStart w:id="5" w:name="RANGE!G7"/>
            <w:r w:rsidRPr="00593926">
              <w:rPr>
                <w:rFonts w:ascii="Arial" w:eastAsia="Times New Roman" w:hAnsi="Arial" w:cs="Arial"/>
                <w:bCs/>
                <w:sz w:val="14"/>
                <w:szCs w:val="16"/>
              </w:rPr>
              <w:t>0</w:t>
            </w:r>
            <w:bookmarkEnd w:id="5"/>
          </w:p>
        </w:tc>
      </w:tr>
      <w:tr w:rsidR="00B81A3E" w:rsidRPr="00F71665" w:rsidTr="00B81A3E">
        <w:trPr>
          <w:trHeight w:val="253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65" w:rsidRPr="00593926" w:rsidRDefault="00F71665" w:rsidP="00F716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593926">
              <w:rPr>
                <w:rFonts w:ascii="Arial" w:eastAsia="Times New Roman" w:hAnsi="Arial" w:cs="Arial"/>
                <w:bCs/>
                <w:sz w:val="14"/>
                <w:szCs w:val="16"/>
              </w:rPr>
              <w:t>Alternative Hypothesis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665" w:rsidRPr="00593926" w:rsidRDefault="00F71665" w:rsidP="00F716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593926">
              <w:rPr>
                <w:rFonts w:ascii="Arial" w:eastAsia="Times New Roman" w:hAnsi="Arial" w:cs="Arial"/>
                <w:bCs/>
                <w:sz w:val="14"/>
                <w:szCs w:val="16"/>
              </w:rPr>
              <w:t>H</w:t>
            </w:r>
            <w:r w:rsidRPr="00593926">
              <w:rPr>
                <w:rFonts w:ascii="Arial" w:eastAsia="Times New Roman" w:hAnsi="Arial" w:cs="Arial"/>
                <w:bCs/>
                <w:sz w:val="14"/>
                <w:szCs w:val="16"/>
                <w:vertAlign w:val="subscript"/>
              </w:rPr>
              <w:t>a</w:t>
            </w:r>
            <w:r w:rsidRPr="00593926">
              <w:rPr>
                <w:rFonts w:ascii="Arial" w:eastAsia="Times New Roman" w:hAnsi="Arial" w:cs="Arial"/>
                <w:bCs/>
                <w:sz w:val="14"/>
                <w:szCs w:val="16"/>
              </w:rPr>
              <w:t>: P</w:t>
            </w:r>
            <w:r w:rsidRPr="00593926">
              <w:rPr>
                <w:rFonts w:ascii="Arial" w:eastAsia="Times New Roman" w:hAnsi="Arial" w:cs="Arial"/>
                <w:bCs/>
                <w:sz w:val="14"/>
                <w:szCs w:val="16"/>
                <w:vertAlign w:val="subscript"/>
              </w:rPr>
              <w:t>1</w:t>
            </w:r>
            <w:r w:rsidRPr="00593926">
              <w:rPr>
                <w:rFonts w:ascii="Arial" w:eastAsia="Times New Roman" w:hAnsi="Arial" w:cs="Arial"/>
                <w:bCs/>
                <w:sz w:val="14"/>
                <w:szCs w:val="16"/>
              </w:rPr>
              <w:t xml:space="preserve"> - P</w:t>
            </w:r>
            <w:r w:rsidRPr="00593926">
              <w:rPr>
                <w:rFonts w:ascii="Arial" w:eastAsia="Times New Roman" w:hAnsi="Arial" w:cs="Arial"/>
                <w:bCs/>
                <w:sz w:val="14"/>
                <w:szCs w:val="16"/>
                <w:vertAlign w:val="subscript"/>
              </w:rPr>
              <w:t>2</w:t>
            </w:r>
          </w:p>
        </w:tc>
        <w:tc>
          <w:tcPr>
            <w:tcW w:w="40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1665" w:rsidRPr="00593926" w:rsidRDefault="00F71665" w:rsidP="00F716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bookmarkStart w:id="6" w:name="RANGE!G8"/>
            <w:r w:rsidRPr="00593926">
              <w:rPr>
                <w:rFonts w:ascii="Arial" w:eastAsia="Times New Roman" w:hAnsi="Arial" w:cs="Arial"/>
                <w:bCs/>
                <w:sz w:val="14"/>
                <w:szCs w:val="16"/>
              </w:rPr>
              <w:t>Not Equal To</w:t>
            </w:r>
            <w:bookmarkEnd w:id="6"/>
          </w:p>
        </w:tc>
      </w:tr>
      <w:tr w:rsidR="00B81A3E" w:rsidRPr="00F71665" w:rsidTr="00B81A3E">
        <w:trPr>
          <w:trHeight w:val="241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65" w:rsidRPr="00593926" w:rsidRDefault="00F71665" w:rsidP="00F716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593926">
              <w:rPr>
                <w:rFonts w:ascii="Arial" w:eastAsia="Times New Roman" w:hAnsi="Arial" w:cs="Arial"/>
                <w:bCs/>
                <w:sz w:val="14"/>
                <w:szCs w:val="16"/>
              </w:rPr>
              <w:t>Confidence Level (enter .95 for 95%)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665" w:rsidRPr="00593926" w:rsidRDefault="00F71665" w:rsidP="00F716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593926">
              <w:rPr>
                <w:rFonts w:ascii="Arial" w:eastAsia="Times New Roman" w:hAnsi="Arial" w:cs="Arial"/>
                <w:bCs/>
                <w:sz w:val="14"/>
                <w:szCs w:val="16"/>
              </w:rPr>
              <w:t>100*(1-α)%</w:t>
            </w:r>
          </w:p>
        </w:tc>
        <w:tc>
          <w:tcPr>
            <w:tcW w:w="40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1665" w:rsidRPr="00593926" w:rsidRDefault="00F71665" w:rsidP="00F716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bookmarkStart w:id="7" w:name="RANGE!G9"/>
            <w:r w:rsidRPr="00593926">
              <w:rPr>
                <w:rFonts w:ascii="Arial" w:eastAsia="Times New Roman" w:hAnsi="Arial" w:cs="Arial"/>
                <w:bCs/>
                <w:sz w:val="14"/>
                <w:szCs w:val="16"/>
              </w:rPr>
              <w:t>95.0%</w:t>
            </w:r>
            <w:bookmarkEnd w:id="7"/>
          </w:p>
        </w:tc>
      </w:tr>
      <w:tr w:rsidR="00B81A3E" w:rsidRPr="00F71665" w:rsidTr="00B81A3E">
        <w:trPr>
          <w:trHeight w:val="241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65" w:rsidRPr="00593926" w:rsidRDefault="00F71665" w:rsidP="00F716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593926">
              <w:rPr>
                <w:rFonts w:ascii="Arial" w:eastAsia="Times New Roman" w:hAnsi="Arial" w:cs="Arial"/>
                <w:bCs/>
                <w:sz w:val="14"/>
                <w:szCs w:val="16"/>
              </w:rPr>
              <w:t>Hypothesis Test Method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665" w:rsidRPr="00593926" w:rsidRDefault="00F71665" w:rsidP="00F716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593926">
              <w:rPr>
                <w:rFonts w:ascii="Arial" w:eastAsia="Times New Roman" w:hAnsi="Arial" w:cs="Arial"/>
                <w:bCs/>
                <w:sz w:val="14"/>
                <w:szCs w:val="16"/>
              </w:rPr>
              <w:t> </w:t>
            </w:r>
          </w:p>
        </w:tc>
        <w:tc>
          <w:tcPr>
            <w:tcW w:w="40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1665" w:rsidRPr="00593926" w:rsidRDefault="00F71665" w:rsidP="00F716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bookmarkStart w:id="8" w:name="RANGE!G10"/>
            <w:r w:rsidRPr="00593926">
              <w:rPr>
                <w:rFonts w:ascii="Arial" w:eastAsia="Times New Roman" w:hAnsi="Arial" w:cs="Arial"/>
                <w:bCs/>
                <w:sz w:val="14"/>
                <w:szCs w:val="16"/>
              </w:rPr>
              <w:t>Fisher's Exact</w:t>
            </w:r>
            <w:bookmarkEnd w:id="8"/>
          </w:p>
        </w:tc>
      </w:tr>
      <w:tr w:rsidR="00B81A3E" w:rsidRPr="00F71665" w:rsidTr="00B81A3E">
        <w:trPr>
          <w:trHeight w:val="253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65" w:rsidRPr="00593926" w:rsidRDefault="00F71665" w:rsidP="00F716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593926">
              <w:rPr>
                <w:rFonts w:ascii="Arial" w:eastAsia="Times New Roman" w:hAnsi="Arial" w:cs="Arial"/>
                <w:bCs/>
                <w:sz w:val="14"/>
                <w:szCs w:val="16"/>
              </w:rPr>
              <w:t>Confidence Interval Method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665" w:rsidRPr="00593926" w:rsidRDefault="00F71665" w:rsidP="00F716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593926">
              <w:rPr>
                <w:rFonts w:ascii="Arial" w:eastAsia="Times New Roman" w:hAnsi="Arial" w:cs="Arial"/>
                <w:bCs/>
                <w:sz w:val="14"/>
                <w:szCs w:val="16"/>
              </w:rPr>
              <w:t> </w:t>
            </w:r>
          </w:p>
        </w:tc>
        <w:tc>
          <w:tcPr>
            <w:tcW w:w="40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1665" w:rsidRPr="00593926" w:rsidRDefault="00F71665" w:rsidP="00F716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bookmarkStart w:id="9" w:name="RANGE!G11"/>
            <w:proofErr w:type="spellStart"/>
            <w:r w:rsidRPr="00593926">
              <w:rPr>
                <w:rFonts w:ascii="Arial" w:eastAsia="Times New Roman" w:hAnsi="Arial" w:cs="Arial"/>
                <w:bCs/>
                <w:sz w:val="14"/>
                <w:szCs w:val="16"/>
              </w:rPr>
              <w:t>Newcombe</w:t>
            </w:r>
            <w:proofErr w:type="spellEnd"/>
            <w:r w:rsidRPr="00593926">
              <w:rPr>
                <w:rFonts w:ascii="Arial" w:eastAsia="Times New Roman" w:hAnsi="Arial" w:cs="Arial"/>
                <w:bCs/>
                <w:sz w:val="14"/>
                <w:szCs w:val="16"/>
              </w:rPr>
              <w:t>-Wilson Score</w:t>
            </w:r>
            <w:bookmarkEnd w:id="9"/>
          </w:p>
        </w:tc>
      </w:tr>
      <w:tr w:rsidR="00F71665" w:rsidRPr="00F71665" w:rsidTr="00B81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8725" w:type="dxa"/>
            <w:gridSpan w:val="9"/>
            <w:shd w:val="clear" w:color="000000" w:fill="BFBFBF"/>
            <w:noWrap/>
            <w:vAlign w:val="bottom"/>
            <w:hideMark/>
          </w:tcPr>
          <w:p w:rsidR="00F71665" w:rsidRPr="00593926" w:rsidRDefault="00F71665" w:rsidP="00F7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593926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Test Information</w:t>
            </w:r>
          </w:p>
        </w:tc>
      </w:tr>
      <w:tr w:rsidR="00F71665" w:rsidRPr="00F71665" w:rsidTr="00B81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272" w:type="dxa"/>
            <w:shd w:val="clear" w:color="000000" w:fill="B9FFD9"/>
            <w:noWrap/>
            <w:vAlign w:val="bottom"/>
            <w:hideMark/>
          </w:tcPr>
          <w:p w:rsidR="00F71665" w:rsidRPr="00F71665" w:rsidRDefault="00F71665" w:rsidP="00F716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1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9" w:type="dxa"/>
            <w:shd w:val="clear" w:color="000000" w:fill="B9FFD9"/>
            <w:noWrap/>
            <w:vAlign w:val="bottom"/>
            <w:hideMark/>
          </w:tcPr>
          <w:p w:rsidR="00F71665" w:rsidRPr="00593926" w:rsidRDefault="00F71665" w:rsidP="00F716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93926">
              <w:rPr>
                <w:rFonts w:ascii="Arial" w:eastAsia="Times New Roman" w:hAnsi="Arial" w:cs="Arial"/>
                <w:bCs/>
                <w:sz w:val="16"/>
                <w:szCs w:val="16"/>
              </w:rPr>
              <w:t>Null Hypothesis H</w:t>
            </w:r>
            <w:r w:rsidRPr="00593926">
              <w:rPr>
                <w:rFonts w:ascii="Arial" w:eastAsia="Times New Roman" w:hAnsi="Arial" w:cs="Arial"/>
                <w:bCs/>
                <w:sz w:val="16"/>
                <w:szCs w:val="16"/>
                <w:vertAlign w:val="subscript"/>
              </w:rPr>
              <w:t>0</w:t>
            </w:r>
            <w:r w:rsidRPr="00593926">
              <w:rPr>
                <w:rFonts w:ascii="Arial" w:eastAsia="Times New Roman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970" w:type="dxa"/>
            <w:gridSpan w:val="2"/>
            <w:shd w:val="clear" w:color="000000" w:fill="B9FFD9"/>
            <w:noWrap/>
            <w:vAlign w:val="bottom"/>
            <w:hideMark/>
          </w:tcPr>
          <w:p w:rsidR="00F71665" w:rsidRPr="00593926" w:rsidRDefault="00F71665" w:rsidP="00F716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93926">
              <w:rPr>
                <w:rFonts w:ascii="Arial" w:eastAsia="Times New Roman" w:hAnsi="Arial" w:cs="Arial"/>
                <w:bCs/>
                <w:sz w:val="16"/>
                <w:szCs w:val="16"/>
              </w:rPr>
              <w:t>P</w:t>
            </w:r>
            <w:r w:rsidRPr="00593926">
              <w:rPr>
                <w:rFonts w:ascii="Arial" w:eastAsia="Times New Roman" w:hAnsi="Arial" w:cs="Arial"/>
                <w:bCs/>
                <w:sz w:val="16"/>
                <w:szCs w:val="16"/>
                <w:vertAlign w:val="subscript"/>
              </w:rPr>
              <w:t>1</w:t>
            </w:r>
            <w:r w:rsidRPr="00593926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- P</w:t>
            </w:r>
            <w:r w:rsidRPr="00593926">
              <w:rPr>
                <w:rFonts w:ascii="Arial" w:eastAsia="Times New Roman" w:hAnsi="Arial" w:cs="Arial"/>
                <w:bCs/>
                <w:sz w:val="16"/>
                <w:szCs w:val="16"/>
                <w:vertAlign w:val="subscript"/>
              </w:rPr>
              <w:t xml:space="preserve">2 </w:t>
            </w:r>
          </w:p>
        </w:tc>
        <w:tc>
          <w:tcPr>
            <w:tcW w:w="647" w:type="dxa"/>
            <w:gridSpan w:val="2"/>
            <w:shd w:val="clear" w:color="000000" w:fill="B9FFD9"/>
            <w:noWrap/>
            <w:vAlign w:val="bottom"/>
            <w:hideMark/>
          </w:tcPr>
          <w:p w:rsidR="00F71665" w:rsidRPr="00593926" w:rsidRDefault="00F71665" w:rsidP="00F7166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bookmarkStart w:id="10" w:name="RANGE!N5"/>
            <w:r w:rsidRPr="00593926">
              <w:rPr>
                <w:rFonts w:ascii="Arial" w:eastAsia="Times New Roman" w:hAnsi="Arial" w:cs="Arial"/>
                <w:bCs/>
                <w:sz w:val="16"/>
                <w:szCs w:val="16"/>
              </w:rPr>
              <w:t>= 0</w:t>
            </w:r>
            <w:bookmarkEnd w:id="10"/>
          </w:p>
        </w:tc>
        <w:tc>
          <w:tcPr>
            <w:tcW w:w="3597" w:type="dxa"/>
            <w:gridSpan w:val="3"/>
            <w:shd w:val="clear" w:color="000000" w:fill="B9FFD9"/>
            <w:noWrap/>
            <w:vAlign w:val="bottom"/>
            <w:hideMark/>
          </w:tcPr>
          <w:p w:rsidR="00F71665" w:rsidRPr="00593926" w:rsidRDefault="00F71665" w:rsidP="00F716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93926">
              <w:rPr>
                <w:rFonts w:ascii="Arial" w:eastAsia="Times New Roman" w:hAnsi="Arial" w:cs="Arial"/>
                <w:bCs/>
                <w:sz w:val="16"/>
                <w:szCs w:val="16"/>
              </w:rPr>
              <w:t>Fail to Reject</w:t>
            </w:r>
          </w:p>
        </w:tc>
      </w:tr>
      <w:tr w:rsidR="00F71665" w:rsidRPr="00F71665" w:rsidTr="00B81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272" w:type="dxa"/>
            <w:shd w:val="clear" w:color="auto" w:fill="auto"/>
            <w:noWrap/>
            <w:vAlign w:val="bottom"/>
            <w:hideMark/>
          </w:tcPr>
          <w:p w:rsidR="00F71665" w:rsidRPr="00F71665" w:rsidRDefault="00F71665" w:rsidP="00F716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1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9" w:type="dxa"/>
            <w:shd w:val="clear" w:color="auto" w:fill="auto"/>
            <w:noWrap/>
            <w:vAlign w:val="bottom"/>
            <w:hideMark/>
          </w:tcPr>
          <w:p w:rsidR="00F71665" w:rsidRPr="00593926" w:rsidRDefault="00F71665" w:rsidP="00F716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93926">
              <w:rPr>
                <w:rFonts w:ascii="Arial" w:eastAsia="Times New Roman" w:hAnsi="Arial" w:cs="Arial"/>
                <w:bCs/>
                <w:sz w:val="16"/>
                <w:szCs w:val="16"/>
              </w:rPr>
              <w:t>Alternative Hypothesis H</w:t>
            </w:r>
            <w:r w:rsidRPr="00593926">
              <w:rPr>
                <w:rFonts w:ascii="Arial" w:eastAsia="Times New Roman" w:hAnsi="Arial" w:cs="Arial"/>
                <w:bCs/>
                <w:sz w:val="16"/>
                <w:szCs w:val="16"/>
                <w:vertAlign w:val="subscript"/>
              </w:rPr>
              <w:t>a</w:t>
            </w:r>
            <w:r w:rsidRPr="00593926">
              <w:rPr>
                <w:rFonts w:ascii="Arial" w:eastAsia="Times New Roman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970" w:type="dxa"/>
            <w:gridSpan w:val="2"/>
            <w:shd w:val="clear" w:color="auto" w:fill="auto"/>
            <w:noWrap/>
            <w:vAlign w:val="bottom"/>
            <w:hideMark/>
          </w:tcPr>
          <w:p w:rsidR="00F71665" w:rsidRPr="00593926" w:rsidRDefault="00F71665" w:rsidP="00F716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93926">
              <w:rPr>
                <w:rFonts w:ascii="Arial" w:eastAsia="Times New Roman" w:hAnsi="Arial" w:cs="Arial"/>
                <w:bCs/>
                <w:sz w:val="16"/>
                <w:szCs w:val="16"/>
              </w:rPr>
              <w:t>P</w:t>
            </w:r>
            <w:r w:rsidRPr="00593926">
              <w:rPr>
                <w:rFonts w:ascii="Arial" w:eastAsia="Times New Roman" w:hAnsi="Arial" w:cs="Arial"/>
                <w:bCs/>
                <w:sz w:val="16"/>
                <w:szCs w:val="16"/>
                <w:vertAlign w:val="subscript"/>
              </w:rPr>
              <w:t>1</w:t>
            </w:r>
            <w:r w:rsidRPr="00593926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- P</w:t>
            </w:r>
            <w:r w:rsidRPr="00593926">
              <w:rPr>
                <w:rFonts w:ascii="Arial" w:eastAsia="Times New Roman" w:hAnsi="Arial" w:cs="Arial"/>
                <w:bCs/>
                <w:sz w:val="16"/>
                <w:szCs w:val="16"/>
                <w:vertAlign w:val="subscript"/>
              </w:rPr>
              <w:t xml:space="preserve">2 </w:t>
            </w:r>
          </w:p>
        </w:tc>
        <w:tc>
          <w:tcPr>
            <w:tcW w:w="647" w:type="dxa"/>
            <w:gridSpan w:val="2"/>
            <w:shd w:val="clear" w:color="auto" w:fill="auto"/>
            <w:noWrap/>
            <w:vAlign w:val="bottom"/>
            <w:hideMark/>
          </w:tcPr>
          <w:p w:rsidR="00F71665" w:rsidRPr="00593926" w:rsidRDefault="00F71665" w:rsidP="00F7166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bookmarkStart w:id="11" w:name="RANGE!N6"/>
            <w:r w:rsidRPr="00593926">
              <w:rPr>
                <w:rFonts w:ascii="Arial" w:eastAsia="Times New Roman" w:hAnsi="Arial" w:cs="Arial"/>
                <w:bCs/>
                <w:sz w:val="16"/>
                <w:szCs w:val="16"/>
              </w:rPr>
              <w:t>≠ 0</w:t>
            </w:r>
            <w:bookmarkEnd w:id="11"/>
          </w:p>
        </w:tc>
        <w:tc>
          <w:tcPr>
            <w:tcW w:w="3597" w:type="dxa"/>
            <w:gridSpan w:val="3"/>
            <w:shd w:val="clear" w:color="auto" w:fill="auto"/>
            <w:noWrap/>
            <w:vAlign w:val="bottom"/>
            <w:hideMark/>
          </w:tcPr>
          <w:p w:rsidR="00F71665" w:rsidRPr="00593926" w:rsidRDefault="00F71665" w:rsidP="00F716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93926">
              <w:rPr>
                <w:rFonts w:ascii="Arial" w:eastAsia="Times New Roman" w:hAnsi="Arial" w:cs="Arial"/>
                <w:bCs/>
                <w:sz w:val="16"/>
                <w:szCs w:val="16"/>
              </w:rPr>
              <w:t> </w:t>
            </w:r>
          </w:p>
        </w:tc>
      </w:tr>
      <w:tr w:rsidR="00B81A3E" w:rsidRPr="00F71665" w:rsidTr="00593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E599" w:themeFill="accent4" w:themeFillTint="66"/>
        </w:tblPrEx>
        <w:trPr>
          <w:trHeight w:val="274"/>
        </w:trPr>
        <w:tc>
          <w:tcPr>
            <w:tcW w:w="6794" w:type="dxa"/>
            <w:gridSpan w:val="7"/>
            <w:shd w:val="clear" w:color="auto" w:fill="A7E8FF"/>
            <w:noWrap/>
            <w:vAlign w:val="bottom"/>
            <w:hideMark/>
          </w:tcPr>
          <w:p w:rsidR="00F71665" w:rsidRPr="00593926" w:rsidRDefault="00F71665" w:rsidP="00F716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9392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Fisher's Exact probability P-Value (2-sided)</w:t>
            </w:r>
          </w:p>
        </w:tc>
        <w:tc>
          <w:tcPr>
            <w:tcW w:w="1999" w:type="dxa"/>
            <w:gridSpan w:val="2"/>
            <w:shd w:val="clear" w:color="auto" w:fill="A7E8FF"/>
            <w:noWrap/>
            <w:vAlign w:val="bottom"/>
            <w:hideMark/>
          </w:tcPr>
          <w:p w:rsidR="00F71665" w:rsidRPr="00593926" w:rsidRDefault="00F71665" w:rsidP="00F7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bookmarkStart w:id="12" w:name="RANGE!G19"/>
            <w:r w:rsidRPr="0059392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1.0000</w:t>
            </w:r>
            <w:bookmarkEnd w:id="12"/>
          </w:p>
        </w:tc>
      </w:tr>
    </w:tbl>
    <w:p w:rsidR="00F71665" w:rsidRDefault="00F71665" w:rsidP="00AC769C"/>
    <w:p w:rsidR="001219E1" w:rsidRPr="00593926" w:rsidRDefault="00593926" w:rsidP="00AC769C">
      <w:pPr>
        <w:rPr>
          <w:b/>
        </w:rPr>
      </w:pPr>
      <w:r w:rsidRPr="00593926">
        <w:rPr>
          <w:b/>
        </w:rPr>
        <w:t>Prioritization of Reports using Pareto</w:t>
      </w:r>
      <w:r w:rsidR="001219E1" w:rsidRPr="00593926">
        <w:rPr>
          <w:b/>
        </w:rPr>
        <w:t xml:space="preserve"> Chart</w:t>
      </w:r>
    </w:p>
    <w:p w:rsidR="001219E1" w:rsidRDefault="00593926" w:rsidP="00AC769C"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64.5pt;margin-top:55.15pt;width:248pt;height:0;z-index:251659264" o:connectortype="straight" strokecolor="red">
            <v:stroke dashstyle="dash"/>
          </v:shape>
        </w:pict>
      </w:r>
      <w:r>
        <w:rPr>
          <w:noProof/>
          <w:lang w:val="en-US" w:eastAsia="en-US"/>
        </w:rPr>
        <w:pict>
          <v:shape id="_x0000_s1026" type="#_x0000_t32" style="position:absolute;margin-left:164.5pt;margin-top:55.15pt;width:0;height:175pt;z-index:251658240" o:connectortype="straight" strokecolor="red">
            <v:stroke dashstyle="dash"/>
          </v:shape>
        </w:pict>
      </w:r>
      <w:r w:rsidR="001219E1">
        <w:rPr>
          <w:noProof/>
          <w:lang w:val="en-US" w:eastAsia="en-US"/>
        </w:rPr>
        <w:drawing>
          <wp:inline distT="0" distB="0" distL="0" distR="0">
            <wp:extent cx="5731510" cy="3533775"/>
            <wp:effectExtent l="0" t="0" r="254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52FC" w:rsidRDefault="007E7083" w:rsidP="00AC769C">
      <w:r>
        <w:t xml:space="preserve">From the </w:t>
      </w:r>
      <w:proofErr w:type="spellStart"/>
      <w:proofErr w:type="gramStart"/>
      <w:r>
        <w:t>pareto</w:t>
      </w:r>
      <w:proofErr w:type="spellEnd"/>
      <w:proofErr w:type="gramEnd"/>
      <w:r>
        <w:t>, my top 3 is production volume, exploration and balance reports (Report group 1)</w:t>
      </w:r>
    </w:p>
    <w:p w:rsidR="007E7083" w:rsidRPr="00567DC5" w:rsidRDefault="007E7083" w:rsidP="007E7083">
      <w:pPr>
        <w:jc w:val="both"/>
        <w:rPr>
          <w:b/>
        </w:rPr>
      </w:pPr>
      <w:r w:rsidRPr="00567DC5">
        <w:rPr>
          <w:b/>
        </w:rPr>
        <w:t>Hypothesis Testing</w:t>
      </w:r>
      <w:r>
        <w:rPr>
          <w:b/>
        </w:rPr>
        <w:t xml:space="preserve"> Q2</w:t>
      </w:r>
      <w:r w:rsidRPr="00567DC5">
        <w:rPr>
          <w:b/>
        </w:rPr>
        <w:t>:</w:t>
      </w:r>
      <w:r>
        <w:rPr>
          <w:b/>
        </w:rPr>
        <w:t xml:space="preserve"> </w:t>
      </w:r>
    </w:p>
    <w:p w:rsidR="007E7083" w:rsidRDefault="007E7083" w:rsidP="007E7083">
      <w:pPr>
        <w:jc w:val="both"/>
      </w:pPr>
      <w:r>
        <w:t>Null hypothesis = Number of entries in Report Group 1 &gt; Number of entries in Report Group 2</w:t>
      </w:r>
    </w:p>
    <w:p w:rsidR="007E7083" w:rsidRDefault="007E7083" w:rsidP="007E7083">
      <w:pPr>
        <w:jc w:val="both"/>
      </w:pPr>
      <w:r>
        <w:t>Alternative hypothesis = Number of entries in Report Group 1 &lt; Number of entries in Report Group 2</w:t>
      </w:r>
    </w:p>
    <w:tbl>
      <w:tblPr>
        <w:tblW w:w="8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"/>
        <w:gridCol w:w="3450"/>
        <w:gridCol w:w="835"/>
        <w:gridCol w:w="654"/>
        <w:gridCol w:w="513"/>
        <w:gridCol w:w="196"/>
        <w:gridCol w:w="2126"/>
        <w:gridCol w:w="706"/>
      </w:tblGrid>
      <w:tr w:rsidR="000A52FC" w:rsidRPr="00593926" w:rsidTr="007E7083">
        <w:trPr>
          <w:trHeight w:val="181"/>
        </w:trPr>
        <w:tc>
          <w:tcPr>
            <w:tcW w:w="8752" w:type="dxa"/>
            <w:gridSpan w:val="8"/>
            <w:shd w:val="clear" w:color="000000" w:fill="BFBFBF"/>
            <w:noWrap/>
            <w:vAlign w:val="bottom"/>
            <w:hideMark/>
          </w:tcPr>
          <w:p w:rsidR="000A52FC" w:rsidRPr="00593926" w:rsidRDefault="000A52FC" w:rsidP="000A52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93926">
              <w:rPr>
                <w:rFonts w:ascii="Arial" w:eastAsia="Times New Roman" w:hAnsi="Arial" w:cs="Arial"/>
                <w:bCs/>
                <w:sz w:val="16"/>
                <w:szCs w:val="16"/>
              </w:rPr>
              <w:t>Test Information</w:t>
            </w:r>
            <w:r w:rsidR="004414CC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- </w:t>
            </w:r>
            <w:r w:rsidR="004414CC" w:rsidRPr="004414CC">
              <w:rPr>
                <w:rFonts w:ascii="Arial" w:eastAsia="Times New Roman" w:hAnsi="Arial" w:cs="Arial"/>
                <w:bCs/>
                <w:sz w:val="16"/>
                <w:szCs w:val="16"/>
              </w:rPr>
              <w:t>2 Proportions Test and Confidence Interval</w:t>
            </w:r>
          </w:p>
        </w:tc>
      </w:tr>
      <w:tr w:rsidR="000A52FC" w:rsidRPr="00593926" w:rsidTr="007E7083">
        <w:trPr>
          <w:trHeight w:val="358"/>
        </w:trPr>
        <w:tc>
          <w:tcPr>
            <w:tcW w:w="272" w:type="dxa"/>
            <w:shd w:val="clear" w:color="000000" w:fill="B9FFD9"/>
            <w:noWrap/>
            <w:vAlign w:val="bottom"/>
            <w:hideMark/>
          </w:tcPr>
          <w:p w:rsidR="000A52FC" w:rsidRPr="00593926" w:rsidRDefault="000A52FC" w:rsidP="000A52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39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50" w:type="dxa"/>
            <w:shd w:val="clear" w:color="000000" w:fill="B9FFD9"/>
            <w:noWrap/>
            <w:vAlign w:val="bottom"/>
            <w:hideMark/>
          </w:tcPr>
          <w:p w:rsidR="000A52FC" w:rsidRPr="00593926" w:rsidRDefault="000A52FC" w:rsidP="000A52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93926">
              <w:rPr>
                <w:rFonts w:ascii="Arial" w:eastAsia="Times New Roman" w:hAnsi="Arial" w:cs="Arial"/>
                <w:bCs/>
                <w:sz w:val="16"/>
                <w:szCs w:val="16"/>
              </w:rPr>
              <w:t>Null Hypothesis H</w:t>
            </w:r>
            <w:r w:rsidRPr="00593926">
              <w:rPr>
                <w:rFonts w:ascii="Arial" w:eastAsia="Times New Roman" w:hAnsi="Arial" w:cs="Arial"/>
                <w:bCs/>
                <w:sz w:val="16"/>
                <w:szCs w:val="16"/>
                <w:vertAlign w:val="subscript"/>
              </w:rPr>
              <w:t>0</w:t>
            </w:r>
            <w:r w:rsidRPr="00593926">
              <w:rPr>
                <w:rFonts w:ascii="Arial" w:eastAsia="Times New Roman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835" w:type="dxa"/>
            <w:shd w:val="clear" w:color="000000" w:fill="B9FFD9"/>
            <w:noWrap/>
            <w:vAlign w:val="bottom"/>
            <w:hideMark/>
          </w:tcPr>
          <w:p w:rsidR="000A52FC" w:rsidRPr="00593926" w:rsidRDefault="000A52FC" w:rsidP="000A52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93926">
              <w:rPr>
                <w:rFonts w:ascii="Arial" w:eastAsia="Times New Roman" w:hAnsi="Arial" w:cs="Arial"/>
                <w:bCs/>
                <w:sz w:val="16"/>
                <w:szCs w:val="16"/>
              </w:rPr>
              <w:t>P</w:t>
            </w:r>
            <w:r w:rsidRPr="00593926">
              <w:rPr>
                <w:rFonts w:ascii="Arial" w:eastAsia="Times New Roman" w:hAnsi="Arial" w:cs="Arial"/>
                <w:bCs/>
                <w:sz w:val="16"/>
                <w:szCs w:val="16"/>
                <w:vertAlign w:val="subscript"/>
              </w:rPr>
              <w:t>1</w:t>
            </w:r>
            <w:r w:rsidRPr="00593926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- P</w:t>
            </w:r>
            <w:r w:rsidRPr="00593926">
              <w:rPr>
                <w:rFonts w:ascii="Arial" w:eastAsia="Times New Roman" w:hAnsi="Arial" w:cs="Arial"/>
                <w:bCs/>
                <w:sz w:val="16"/>
                <w:szCs w:val="16"/>
                <w:vertAlign w:val="subscript"/>
              </w:rPr>
              <w:t xml:space="preserve">2 </w:t>
            </w:r>
          </w:p>
        </w:tc>
        <w:tc>
          <w:tcPr>
            <w:tcW w:w="654" w:type="dxa"/>
            <w:shd w:val="clear" w:color="000000" w:fill="B9FFD9"/>
            <w:noWrap/>
            <w:vAlign w:val="bottom"/>
            <w:hideMark/>
          </w:tcPr>
          <w:p w:rsidR="000A52FC" w:rsidRPr="00593926" w:rsidRDefault="000A52FC" w:rsidP="000A52F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93926">
              <w:rPr>
                <w:rFonts w:ascii="Arial" w:eastAsia="Times New Roman" w:hAnsi="Arial" w:cs="Arial"/>
                <w:bCs/>
                <w:sz w:val="16"/>
                <w:szCs w:val="16"/>
              </w:rPr>
              <w:t>= 0</w:t>
            </w:r>
          </w:p>
        </w:tc>
        <w:tc>
          <w:tcPr>
            <w:tcW w:w="3541" w:type="dxa"/>
            <w:gridSpan w:val="4"/>
            <w:shd w:val="clear" w:color="000000" w:fill="B9FFD9"/>
            <w:noWrap/>
            <w:vAlign w:val="bottom"/>
            <w:hideMark/>
          </w:tcPr>
          <w:p w:rsidR="000A52FC" w:rsidRPr="00593926" w:rsidRDefault="000A52FC" w:rsidP="000A52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93926">
              <w:rPr>
                <w:rFonts w:ascii="Arial" w:eastAsia="Times New Roman" w:hAnsi="Arial" w:cs="Arial"/>
                <w:bCs/>
                <w:sz w:val="16"/>
                <w:szCs w:val="16"/>
              </w:rPr>
              <w:t>Fail to Reject</w:t>
            </w:r>
          </w:p>
        </w:tc>
      </w:tr>
      <w:tr w:rsidR="000A52FC" w:rsidRPr="00593926" w:rsidTr="007E7083">
        <w:trPr>
          <w:trHeight w:val="358"/>
        </w:trPr>
        <w:tc>
          <w:tcPr>
            <w:tcW w:w="272" w:type="dxa"/>
            <w:shd w:val="clear" w:color="auto" w:fill="auto"/>
            <w:noWrap/>
            <w:vAlign w:val="bottom"/>
            <w:hideMark/>
          </w:tcPr>
          <w:p w:rsidR="000A52FC" w:rsidRPr="00593926" w:rsidRDefault="000A52FC" w:rsidP="000A52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392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50" w:type="dxa"/>
            <w:shd w:val="clear" w:color="auto" w:fill="auto"/>
            <w:noWrap/>
            <w:vAlign w:val="bottom"/>
            <w:hideMark/>
          </w:tcPr>
          <w:p w:rsidR="000A52FC" w:rsidRPr="00593926" w:rsidRDefault="000A52FC" w:rsidP="000A52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93926">
              <w:rPr>
                <w:rFonts w:ascii="Arial" w:eastAsia="Times New Roman" w:hAnsi="Arial" w:cs="Arial"/>
                <w:bCs/>
                <w:sz w:val="16"/>
                <w:szCs w:val="16"/>
              </w:rPr>
              <w:t>Alternative Hypothesis H</w:t>
            </w:r>
            <w:r w:rsidRPr="00593926">
              <w:rPr>
                <w:rFonts w:ascii="Arial" w:eastAsia="Times New Roman" w:hAnsi="Arial" w:cs="Arial"/>
                <w:bCs/>
                <w:sz w:val="16"/>
                <w:szCs w:val="16"/>
                <w:vertAlign w:val="subscript"/>
              </w:rPr>
              <w:t>a</w:t>
            </w:r>
            <w:r w:rsidRPr="00593926">
              <w:rPr>
                <w:rFonts w:ascii="Arial" w:eastAsia="Times New Roman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0A52FC" w:rsidRPr="00593926" w:rsidRDefault="000A52FC" w:rsidP="000A52F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93926">
              <w:rPr>
                <w:rFonts w:ascii="Arial" w:eastAsia="Times New Roman" w:hAnsi="Arial" w:cs="Arial"/>
                <w:bCs/>
                <w:sz w:val="16"/>
                <w:szCs w:val="16"/>
              </w:rPr>
              <w:t>P</w:t>
            </w:r>
            <w:r w:rsidRPr="00593926">
              <w:rPr>
                <w:rFonts w:ascii="Arial" w:eastAsia="Times New Roman" w:hAnsi="Arial" w:cs="Arial"/>
                <w:bCs/>
                <w:sz w:val="16"/>
                <w:szCs w:val="16"/>
                <w:vertAlign w:val="subscript"/>
              </w:rPr>
              <w:t>1</w:t>
            </w:r>
            <w:r w:rsidRPr="00593926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- P</w:t>
            </w:r>
            <w:r w:rsidRPr="00593926">
              <w:rPr>
                <w:rFonts w:ascii="Arial" w:eastAsia="Times New Roman" w:hAnsi="Arial" w:cs="Arial"/>
                <w:bCs/>
                <w:sz w:val="16"/>
                <w:szCs w:val="16"/>
                <w:vertAlign w:val="subscript"/>
              </w:rPr>
              <w:t xml:space="preserve">2 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0A52FC" w:rsidRPr="00593926" w:rsidRDefault="000A52FC" w:rsidP="000A52F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93926">
              <w:rPr>
                <w:rFonts w:ascii="Arial" w:eastAsia="Times New Roman" w:hAnsi="Arial" w:cs="Arial"/>
                <w:bCs/>
                <w:sz w:val="16"/>
                <w:szCs w:val="16"/>
              </w:rPr>
              <w:t>≠ 0</w:t>
            </w:r>
          </w:p>
        </w:tc>
        <w:tc>
          <w:tcPr>
            <w:tcW w:w="3541" w:type="dxa"/>
            <w:gridSpan w:val="4"/>
            <w:shd w:val="clear" w:color="auto" w:fill="auto"/>
            <w:noWrap/>
            <w:vAlign w:val="bottom"/>
            <w:hideMark/>
          </w:tcPr>
          <w:p w:rsidR="000A52FC" w:rsidRPr="00593926" w:rsidRDefault="000A52FC" w:rsidP="000A52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93926">
              <w:rPr>
                <w:rFonts w:ascii="Arial" w:eastAsia="Times New Roman" w:hAnsi="Arial" w:cs="Arial"/>
                <w:bCs/>
                <w:sz w:val="16"/>
                <w:szCs w:val="16"/>
              </w:rPr>
              <w:t> </w:t>
            </w:r>
          </w:p>
        </w:tc>
      </w:tr>
      <w:tr w:rsidR="000A52FC" w:rsidRPr="00593926" w:rsidTr="007E7083">
        <w:trPr>
          <w:trHeight w:val="287"/>
        </w:trPr>
        <w:tc>
          <w:tcPr>
            <w:tcW w:w="5724" w:type="dxa"/>
            <w:gridSpan w:val="5"/>
            <w:shd w:val="clear" w:color="auto" w:fill="A7E8FF"/>
            <w:noWrap/>
            <w:vAlign w:val="bottom"/>
            <w:hideMark/>
          </w:tcPr>
          <w:p w:rsidR="000A52FC" w:rsidRPr="00593926" w:rsidRDefault="000A52FC" w:rsidP="000A52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9392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Fisher's Exact probability P-Value (2-sided)</w:t>
            </w:r>
          </w:p>
        </w:tc>
        <w:tc>
          <w:tcPr>
            <w:tcW w:w="3028" w:type="dxa"/>
            <w:gridSpan w:val="3"/>
            <w:shd w:val="clear" w:color="auto" w:fill="A7E8FF"/>
            <w:noWrap/>
            <w:vAlign w:val="bottom"/>
            <w:hideMark/>
          </w:tcPr>
          <w:p w:rsidR="000A52FC" w:rsidRPr="00593926" w:rsidRDefault="000A52FC" w:rsidP="000A5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59392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1.0000</w:t>
            </w:r>
          </w:p>
        </w:tc>
      </w:tr>
      <w:tr w:rsidR="00593926" w:rsidRPr="00593926" w:rsidTr="007E7083">
        <w:trPr>
          <w:trHeight w:val="227"/>
        </w:trPr>
        <w:tc>
          <w:tcPr>
            <w:tcW w:w="8752" w:type="dxa"/>
            <w:gridSpan w:val="8"/>
            <w:shd w:val="clear" w:color="000000" w:fill="C0C0C0"/>
            <w:noWrap/>
            <w:vAlign w:val="bottom"/>
            <w:hideMark/>
          </w:tcPr>
          <w:p w:rsidR="00593926" w:rsidRPr="00593926" w:rsidRDefault="00593926" w:rsidP="005939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593926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Results:</w:t>
            </w:r>
          </w:p>
        </w:tc>
      </w:tr>
      <w:tr w:rsidR="00593926" w:rsidRPr="00593926" w:rsidTr="007E7083">
        <w:trPr>
          <w:trHeight w:val="299"/>
        </w:trPr>
        <w:tc>
          <w:tcPr>
            <w:tcW w:w="5920" w:type="dxa"/>
            <w:gridSpan w:val="6"/>
            <w:shd w:val="clear" w:color="auto" w:fill="auto"/>
            <w:noWrap/>
            <w:vAlign w:val="bottom"/>
            <w:hideMark/>
          </w:tcPr>
          <w:p w:rsidR="00593926" w:rsidRPr="00593926" w:rsidRDefault="00593926" w:rsidP="0059392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593926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Sample proportion (x/n)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5939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bookmarkStart w:id="13" w:name="RANGE!G14"/>
            <w:r w:rsidRPr="00593926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0.1000</w:t>
            </w:r>
            <w:bookmarkEnd w:id="13"/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593926" w:rsidRPr="00593926" w:rsidRDefault="00593926" w:rsidP="005939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bookmarkStart w:id="14" w:name="RANGE!H14"/>
            <w:r w:rsidRPr="00593926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0.2000</w:t>
            </w:r>
            <w:bookmarkEnd w:id="14"/>
          </w:p>
        </w:tc>
      </w:tr>
      <w:tr w:rsidR="00593926" w:rsidRPr="00593926" w:rsidTr="007E7083">
        <w:trPr>
          <w:trHeight w:val="299"/>
        </w:trPr>
        <w:tc>
          <w:tcPr>
            <w:tcW w:w="5920" w:type="dxa"/>
            <w:gridSpan w:val="6"/>
            <w:shd w:val="clear" w:color="auto" w:fill="auto"/>
            <w:noWrap/>
            <w:vAlign w:val="bottom"/>
            <w:hideMark/>
          </w:tcPr>
          <w:p w:rsidR="00593926" w:rsidRPr="00593926" w:rsidRDefault="00593926" w:rsidP="0059392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593926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Sample proportion difference</w:t>
            </w:r>
          </w:p>
        </w:tc>
        <w:tc>
          <w:tcPr>
            <w:tcW w:w="2832" w:type="dxa"/>
            <w:gridSpan w:val="2"/>
            <w:shd w:val="clear" w:color="auto" w:fill="auto"/>
            <w:noWrap/>
            <w:vAlign w:val="bottom"/>
            <w:hideMark/>
          </w:tcPr>
          <w:p w:rsidR="00593926" w:rsidRPr="00593926" w:rsidRDefault="00593926" w:rsidP="005939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bookmarkStart w:id="15" w:name="RANGE!G15"/>
            <w:r w:rsidRPr="00593926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-0.1000</w:t>
            </w:r>
            <w:bookmarkEnd w:id="15"/>
          </w:p>
        </w:tc>
      </w:tr>
      <w:tr w:rsidR="00593926" w:rsidRPr="00593926" w:rsidTr="007E7083">
        <w:trPr>
          <w:trHeight w:val="304"/>
        </w:trPr>
        <w:tc>
          <w:tcPr>
            <w:tcW w:w="5920" w:type="dxa"/>
            <w:gridSpan w:val="6"/>
            <w:shd w:val="clear" w:color="auto" w:fill="auto"/>
            <w:noWrap/>
            <w:vAlign w:val="bottom"/>
            <w:hideMark/>
          </w:tcPr>
          <w:p w:rsidR="00593926" w:rsidRPr="00593926" w:rsidRDefault="00593926" w:rsidP="0059392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593926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alpha</w:t>
            </w:r>
          </w:p>
        </w:tc>
        <w:tc>
          <w:tcPr>
            <w:tcW w:w="2832" w:type="dxa"/>
            <w:gridSpan w:val="2"/>
            <w:shd w:val="clear" w:color="auto" w:fill="auto"/>
            <w:noWrap/>
            <w:vAlign w:val="bottom"/>
            <w:hideMark/>
          </w:tcPr>
          <w:p w:rsidR="00593926" w:rsidRPr="00593926" w:rsidRDefault="00593926" w:rsidP="005939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bookmarkStart w:id="16" w:name="RANGE!G16"/>
            <w:r w:rsidRPr="00593926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0.0500</w:t>
            </w:r>
            <w:bookmarkEnd w:id="16"/>
          </w:p>
        </w:tc>
      </w:tr>
      <w:tr w:rsidR="00593926" w:rsidRPr="00593926" w:rsidTr="007E7083">
        <w:trPr>
          <w:trHeight w:val="304"/>
        </w:trPr>
        <w:tc>
          <w:tcPr>
            <w:tcW w:w="5920" w:type="dxa"/>
            <w:gridSpan w:val="6"/>
            <w:shd w:val="clear" w:color="auto" w:fill="auto"/>
            <w:noWrap/>
            <w:vAlign w:val="bottom"/>
            <w:hideMark/>
          </w:tcPr>
          <w:p w:rsidR="00593926" w:rsidRPr="00593926" w:rsidRDefault="00593926" w:rsidP="0059392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593926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Minimum expected value (should be &gt;= 5 for normal approximation)</w:t>
            </w:r>
          </w:p>
        </w:tc>
        <w:tc>
          <w:tcPr>
            <w:tcW w:w="2832" w:type="dxa"/>
            <w:gridSpan w:val="2"/>
            <w:shd w:val="clear" w:color="auto" w:fill="auto"/>
            <w:noWrap/>
            <w:vAlign w:val="bottom"/>
            <w:hideMark/>
          </w:tcPr>
          <w:p w:rsidR="00593926" w:rsidRPr="00593926" w:rsidRDefault="00593926" w:rsidP="005939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593926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1.5000</w:t>
            </w:r>
          </w:p>
        </w:tc>
      </w:tr>
      <w:tr w:rsidR="00593926" w:rsidRPr="00593926" w:rsidTr="007E7083">
        <w:trPr>
          <w:trHeight w:val="389"/>
        </w:trPr>
        <w:tc>
          <w:tcPr>
            <w:tcW w:w="5920" w:type="dxa"/>
            <w:gridSpan w:val="6"/>
            <w:shd w:val="clear" w:color="auto" w:fill="auto"/>
            <w:noWrap/>
            <w:vAlign w:val="bottom"/>
            <w:hideMark/>
          </w:tcPr>
          <w:p w:rsidR="00593926" w:rsidRPr="00593926" w:rsidRDefault="00593926" w:rsidP="0059392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593926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Fisher's Exact probability P-Value (2-sided)</w:t>
            </w:r>
          </w:p>
        </w:tc>
        <w:tc>
          <w:tcPr>
            <w:tcW w:w="2832" w:type="dxa"/>
            <w:gridSpan w:val="2"/>
            <w:shd w:val="clear" w:color="000000" w:fill="FFFFFF"/>
            <w:noWrap/>
            <w:vAlign w:val="bottom"/>
            <w:hideMark/>
          </w:tcPr>
          <w:p w:rsidR="00593926" w:rsidRPr="00593926" w:rsidRDefault="00593926" w:rsidP="005939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593926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1.0000</w:t>
            </w:r>
          </w:p>
        </w:tc>
      </w:tr>
      <w:tr w:rsidR="00593926" w:rsidRPr="00593926" w:rsidTr="007E7083">
        <w:trPr>
          <w:trHeight w:val="299"/>
        </w:trPr>
        <w:tc>
          <w:tcPr>
            <w:tcW w:w="5920" w:type="dxa"/>
            <w:gridSpan w:val="6"/>
            <w:shd w:val="clear" w:color="auto" w:fill="auto"/>
            <w:noWrap/>
            <w:vAlign w:val="bottom"/>
            <w:hideMark/>
          </w:tcPr>
          <w:p w:rsidR="00593926" w:rsidRPr="00593926" w:rsidRDefault="00593926" w:rsidP="0059392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593926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Upper Confidence Limit (2-sided)</w:t>
            </w:r>
          </w:p>
        </w:tc>
        <w:tc>
          <w:tcPr>
            <w:tcW w:w="2832" w:type="dxa"/>
            <w:gridSpan w:val="2"/>
            <w:shd w:val="clear" w:color="000000" w:fill="FFFFFF"/>
            <w:noWrap/>
            <w:vAlign w:val="bottom"/>
            <w:hideMark/>
          </w:tcPr>
          <w:p w:rsidR="00593926" w:rsidRPr="00593926" w:rsidRDefault="00593926" w:rsidP="005939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bookmarkStart w:id="17" w:name="RANGE!G20"/>
            <w:r w:rsidRPr="00593926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0.2362</w:t>
            </w:r>
            <w:bookmarkEnd w:id="17"/>
          </w:p>
        </w:tc>
      </w:tr>
      <w:tr w:rsidR="00593926" w:rsidRPr="00593926" w:rsidTr="007E7083">
        <w:trPr>
          <w:trHeight w:val="309"/>
        </w:trPr>
        <w:tc>
          <w:tcPr>
            <w:tcW w:w="5920" w:type="dxa"/>
            <w:gridSpan w:val="6"/>
            <w:shd w:val="clear" w:color="auto" w:fill="auto"/>
            <w:noWrap/>
            <w:vAlign w:val="bottom"/>
            <w:hideMark/>
          </w:tcPr>
          <w:p w:rsidR="00593926" w:rsidRPr="00593926" w:rsidRDefault="00593926" w:rsidP="0059392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593926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Lower Confidence Limit (2-sided)</w:t>
            </w:r>
          </w:p>
        </w:tc>
        <w:tc>
          <w:tcPr>
            <w:tcW w:w="2832" w:type="dxa"/>
            <w:gridSpan w:val="2"/>
            <w:shd w:val="clear" w:color="000000" w:fill="FFFFFF"/>
            <w:noWrap/>
            <w:vAlign w:val="bottom"/>
            <w:hideMark/>
          </w:tcPr>
          <w:p w:rsidR="00593926" w:rsidRPr="00593926" w:rsidRDefault="00593926" w:rsidP="005939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bookmarkStart w:id="18" w:name="RANGE!G21"/>
            <w:r w:rsidRPr="00593926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-0.4205</w:t>
            </w:r>
            <w:bookmarkEnd w:id="18"/>
          </w:p>
        </w:tc>
      </w:tr>
    </w:tbl>
    <w:p w:rsidR="007E7083" w:rsidRPr="007E7083" w:rsidRDefault="007E7083" w:rsidP="007E7083">
      <w:pPr>
        <w:rPr>
          <w:rFonts w:ascii="Arial" w:hAnsi="Arial" w:cs="Arial"/>
          <w:b/>
          <w:sz w:val="16"/>
        </w:rPr>
      </w:pPr>
      <w:r w:rsidRPr="007E7083">
        <w:rPr>
          <w:rFonts w:ascii="Arial" w:hAnsi="Arial" w:cs="Arial"/>
          <w:b/>
          <w:sz w:val="16"/>
        </w:rPr>
        <w:t>Interpretation of P-Value and Confidence Intervals:</w:t>
      </w:r>
    </w:p>
    <w:tbl>
      <w:tblPr>
        <w:tblW w:w="8862" w:type="dxa"/>
        <w:tblInd w:w="-34" w:type="dxa"/>
        <w:tblLook w:val="04A0"/>
      </w:tblPr>
      <w:tblGrid>
        <w:gridCol w:w="8862"/>
      </w:tblGrid>
      <w:tr w:rsidR="007E7083" w:rsidRPr="007E7083" w:rsidTr="007E7083">
        <w:trPr>
          <w:trHeight w:val="528"/>
        </w:trPr>
        <w:tc>
          <w:tcPr>
            <w:tcW w:w="88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E7083" w:rsidRPr="007E7083" w:rsidRDefault="007E7083" w:rsidP="007E70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r w:rsidRPr="007E7083"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  <w:t xml:space="preserve">The P-Value is the two-sided (two-tail) probability of observing a difference in proportions at least as extreme as -0.1000, given that the null hypothesis is true. Since the P-Value is greater than </w:t>
            </w:r>
            <w:proofErr w:type="gramStart"/>
            <w:r w:rsidRPr="007E7083"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  <w:t>alpha</w:t>
            </w:r>
            <w:proofErr w:type="gramEnd"/>
            <w:r w:rsidRPr="007E7083"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  <w:t xml:space="preserve"> (0.05), we fail to reject the null hypothesis H0: P1 - P2 = 0.</w:t>
            </w:r>
          </w:p>
        </w:tc>
      </w:tr>
      <w:tr w:rsidR="007E7083" w:rsidRPr="007E7083" w:rsidTr="007E7083">
        <w:trPr>
          <w:trHeight w:val="269"/>
        </w:trPr>
        <w:tc>
          <w:tcPr>
            <w:tcW w:w="8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083" w:rsidRPr="007E7083" w:rsidRDefault="007E7083" w:rsidP="007E70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r w:rsidRPr="007E7083"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  <w:t>We are 95% confident that the true difference in population proportions lies within the interval (-0.4205 to 0.2362).</w:t>
            </w:r>
          </w:p>
        </w:tc>
      </w:tr>
    </w:tbl>
    <w:p w:rsidR="00485AD6" w:rsidRDefault="00485AD6" w:rsidP="00AC769C"/>
    <w:p w:rsidR="007E7083" w:rsidRDefault="007E7083" w:rsidP="007E7083">
      <w:pPr>
        <w:jc w:val="both"/>
        <w:rPr>
          <w:b/>
        </w:rPr>
      </w:pPr>
    </w:p>
    <w:p w:rsidR="007E7083" w:rsidRDefault="007E7083" w:rsidP="007E7083">
      <w:pPr>
        <w:jc w:val="both"/>
        <w:rPr>
          <w:b/>
        </w:rPr>
      </w:pPr>
      <w:r w:rsidRPr="00567DC5">
        <w:rPr>
          <w:b/>
        </w:rPr>
        <w:lastRenderedPageBreak/>
        <w:t>Hypothesis Testing</w:t>
      </w:r>
      <w:r>
        <w:rPr>
          <w:b/>
        </w:rPr>
        <w:t xml:space="preserve"> Q3</w:t>
      </w:r>
    </w:p>
    <w:p w:rsidR="004414CC" w:rsidRDefault="004414CC" w:rsidP="004414CC">
      <w:pPr>
        <w:jc w:val="both"/>
      </w:pPr>
      <w:r>
        <w:t>Null hypothesis = Number of entries in Error Groups &gt; Number of entries in Report Groups</w:t>
      </w:r>
    </w:p>
    <w:p w:rsidR="004414CC" w:rsidRDefault="004414CC" w:rsidP="004414CC">
      <w:pPr>
        <w:jc w:val="both"/>
      </w:pPr>
      <w:r>
        <w:t>Alternative hypothesis = Number of entries in Error Groups &lt; Number of entries in Report Groups</w:t>
      </w:r>
    </w:p>
    <w:tbl>
      <w:tblPr>
        <w:tblW w:w="9740" w:type="dxa"/>
        <w:tblInd w:w="98" w:type="dxa"/>
        <w:tblLook w:val="04A0"/>
      </w:tblPr>
      <w:tblGrid>
        <w:gridCol w:w="261"/>
        <w:gridCol w:w="4266"/>
        <w:gridCol w:w="1025"/>
        <w:gridCol w:w="1233"/>
        <w:gridCol w:w="597"/>
        <w:gridCol w:w="1569"/>
        <w:gridCol w:w="789"/>
      </w:tblGrid>
      <w:tr w:rsidR="007E7083" w:rsidRPr="007E7083" w:rsidTr="004414CC">
        <w:trPr>
          <w:trHeight w:val="318"/>
        </w:trPr>
        <w:tc>
          <w:tcPr>
            <w:tcW w:w="974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7E7083" w:rsidRPr="007E7083" w:rsidRDefault="007E7083" w:rsidP="007E70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7E7083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Test Information</w:t>
            </w:r>
            <w:r w:rsidR="004414CC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 - </w:t>
            </w:r>
            <w:r w:rsidR="004414CC" w:rsidRPr="004414CC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2 Proportions Test and Confidence Interval</w:t>
            </w:r>
          </w:p>
        </w:tc>
      </w:tr>
      <w:tr w:rsidR="007E7083" w:rsidRPr="007E7083" w:rsidTr="004414CC">
        <w:trPr>
          <w:trHeight w:val="348"/>
        </w:trPr>
        <w:tc>
          <w:tcPr>
            <w:tcW w:w="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9FFD9"/>
            <w:noWrap/>
            <w:vAlign w:val="bottom"/>
            <w:hideMark/>
          </w:tcPr>
          <w:p w:rsidR="007E7083" w:rsidRPr="007E7083" w:rsidRDefault="007E7083" w:rsidP="007E70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r w:rsidRPr="007E7083"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9FFD9"/>
            <w:noWrap/>
            <w:vAlign w:val="bottom"/>
            <w:hideMark/>
          </w:tcPr>
          <w:p w:rsidR="007E7083" w:rsidRPr="007E7083" w:rsidRDefault="007E7083" w:rsidP="007E70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7E7083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Null Hypothesis H</w:t>
            </w:r>
            <w:r w:rsidRPr="007E7083">
              <w:rPr>
                <w:rFonts w:ascii="Arial" w:eastAsia="Times New Roman" w:hAnsi="Arial" w:cs="Arial"/>
                <w:bCs/>
                <w:sz w:val="16"/>
                <w:szCs w:val="16"/>
                <w:vertAlign w:val="subscript"/>
                <w:lang w:val="en-US" w:eastAsia="en-US"/>
              </w:rPr>
              <w:t>0</w:t>
            </w:r>
            <w:r w:rsidRPr="007E7083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9FFD9"/>
            <w:noWrap/>
            <w:vAlign w:val="bottom"/>
            <w:hideMark/>
          </w:tcPr>
          <w:p w:rsidR="007E7083" w:rsidRPr="007E7083" w:rsidRDefault="007E7083" w:rsidP="007E70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7E7083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P</w:t>
            </w:r>
            <w:r w:rsidRPr="007E7083">
              <w:rPr>
                <w:rFonts w:ascii="Arial" w:eastAsia="Times New Roman" w:hAnsi="Arial" w:cs="Arial"/>
                <w:bCs/>
                <w:sz w:val="16"/>
                <w:szCs w:val="16"/>
                <w:vertAlign w:val="subscript"/>
                <w:lang w:val="en-US" w:eastAsia="en-US"/>
              </w:rPr>
              <w:t>1</w:t>
            </w:r>
            <w:r w:rsidRPr="007E7083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 - P</w:t>
            </w:r>
            <w:r w:rsidRPr="007E7083">
              <w:rPr>
                <w:rFonts w:ascii="Arial" w:eastAsia="Times New Roman" w:hAnsi="Arial" w:cs="Arial"/>
                <w:bCs/>
                <w:sz w:val="16"/>
                <w:szCs w:val="16"/>
                <w:vertAlign w:val="subscript"/>
                <w:lang w:val="en-US" w:eastAsia="en-US"/>
              </w:rPr>
              <w:t xml:space="preserve">2 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9FFD9"/>
            <w:noWrap/>
            <w:vAlign w:val="bottom"/>
            <w:hideMark/>
          </w:tcPr>
          <w:p w:rsidR="007E7083" w:rsidRPr="007E7083" w:rsidRDefault="007E7083" w:rsidP="007E708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7E7083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= 0</w:t>
            </w:r>
          </w:p>
        </w:tc>
        <w:tc>
          <w:tcPr>
            <w:tcW w:w="23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9FFD9"/>
            <w:noWrap/>
            <w:vAlign w:val="bottom"/>
            <w:hideMark/>
          </w:tcPr>
          <w:p w:rsidR="007E7083" w:rsidRPr="007E7083" w:rsidRDefault="007E7083" w:rsidP="007E70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7E7083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Fail to Reject</w:t>
            </w:r>
          </w:p>
        </w:tc>
      </w:tr>
      <w:tr w:rsidR="007E7083" w:rsidRPr="007E7083" w:rsidTr="004414CC">
        <w:trPr>
          <w:trHeight w:val="348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083" w:rsidRPr="007E7083" w:rsidRDefault="007E7083" w:rsidP="007E70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r w:rsidRPr="007E7083"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2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083" w:rsidRPr="007E7083" w:rsidRDefault="007E7083" w:rsidP="007E70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7E7083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Alternative Hypothesis H</w:t>
            </w:r>
            <w:r w:rsidRPr="007E7083">
              <w:rPr>
                <w:rFonts w:ascii="Arial" w:eastAsia="Times New Roman" w:hAnsi="Arial" w:cs="Arial"/>
                <w:bCs/>
                <w:sz w:val="16"/>
                <w:szCs w:val="16"/>
                <w:vertAlign w:val="subscript"/>
                <w:lang w:val="en-US" w:eastAsia="en-US"/>
              </w:rPr>
              <w:t>a</w:t>
            </w:r>
            <w:r w:rsidRPr="007E7083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083" w:rsidRPr="007E7083" w:rsidRDefault="007E7083" w:rsidP="007E70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7E7083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P</w:t>
            </w:r>
            <w:r w:rsidRPr="007E7083">
              <w:rPr>
                <w:rFonts w:ascii="Arial" w:eastAsia="Times New Roman" w:hAnsi="Arial" w:cs="Arial"/>
                <w:bCs/>
                <w:sz w:val="16"/>
                <w:szCs w:val="16"/>
                <w:vertAlign w:val="subscript"/>
                <w:lang w:val="en-US" w:eastAsia="en-US"/>
              </w:rPr>
              <w:t>1</w:t>
            </w:r>
            <w:r w:rsidRPr="007E7083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 xml:space="preserve"> - P</w:t>
            </w:r>
            <w:r w:rsidRPr="007E7083">
              <w:rPr>
                <w:rFonts w:ascii="Arial" w:eastAsia="Times New Roman" w:hAnsi="Arial" w:cs="Arial"/>
                <w:bCs/>
                <w:sz w:val="16"/>
                <w:szCs w:val="16"/>
                <w:vertAlign w:val="subscript"/>
                <w:lang w:val="en-US" w:eastAsia="en-US"/>
              </w:rPr>
              <w:t xml:space="preserve">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083" w:rsidRPr="007E7083" w:rsidRDefault="007E7083" w:rsidP="007E708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7E7083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≠ 0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7083" w:rsidRPr="007E7083" w:rsidRDefault="007E7083" w:rsidP="007E70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7E7083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 </w:t>
            </w:r>
          </w:p>
        </w:tc>
      </w:tr>
      <w:tr w:rsidR="007E7083" w:rsidRPr="007E7083" w:rsidTr="004414CC">
        <w:trPr>
          <w:trHeight w:val="318"/>
        </w:trPr>
        <w:tc>
          <w:tcPr>
            <w:tcW w:w="9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7E7083" w:rsidRPr="007E7083" w:rsidRDefault="007E7083" w:rsidP="007E70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7E708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E7083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Results:</w:t>
            </w:r>
          </w:p>
        </w:tc>
      </w:tr>
      <w:tr w:rsidR="007E7083" w:rsidRPr="007E7083" w:rsidTr="004414CC">
        <w:trPr>
          <w:trHeight w:val="308"/>
        </w:trPr>
        <w:tc>
          <w:tcPr>
            <w:tcW w:w="45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83" w:rsidRPr="007E7083" w:rsidRDefault="007E7083" w:rsidP="007E70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7E7083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Sample proportion (x/n)</w:t>
            </w:r>
          </w:p>
        </w:tc>
        <w:tc>
          <w:tcPr>
            <w:tcW w:w="44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083" w:rsidRPr="007E7083" w:rsidRDefault="007E7083" w:rsidP="007E70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7E7083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0.1000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083" w:rsidRPr="007E7083" w:rsidRDefault="007E7083" w:rsidP="007E70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7E7083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0.2000</w:t>
            </w:r>
          </w:p>
        </w:tc>
      </w:tr>
      <w:tr w:rsidR="007E7083" w:rsidRPr="007E7083" w:rsidTr="004414CC">
        <w:trPr>
          <w:trHeight w:val="308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83" w:rsidRPr="007E7083" w:rsidRDefault="007E7083" w:rsidP="007E70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7E7083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Sample proportion difference</w:t>
            </w:r>
          </w:p>
        </w:tc>
        <w:tc>
          <w:tcPr>
            <w:tcW w:w="52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7083" w:rsidRPr="007E7083" w:rsidRDefault="007E7083" w:rsidP="007E70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7E7083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-0.1000</w:t>
            </w:r>
          </w:p>
        </w:tc>
      </w:tr>
      <w:tr w:rsidR="007E7083" w:rsidRPr="007E7083" w:rsidTr="004414CC">
        <w:trPr>
          <w:trHeight w:val="313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83" w:rsidRPr="007E7083" w:rsidRDefault="007E7083" w:rsidP="007E70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7E7083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alpha</w:t>
            </w:r>
          </w:p>
        </w:tc>
        <w:tc>
          <w:tcPr>
            <w:tcW w:w="52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7083" w:rsidRPr="007E7083" w:rsidRDefault="007E7083" w:rsidP="007E70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7E7083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0.0500</w:t>
            </w:r>
          </w:p>
        </w:tc>
      </w:tr>
      <w:tr w:rsidR="007E7083" w:rsidRPr="007E7083" w:rsidTr="004414CC">
        <w:trPr>
          <w:trHeight w:val="313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83" w:rsidRPr="007E7083" w:rsidRDefault="007E7083" w:rsidP="007E70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7E7083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Minimum expected value (should be &gt;= 5 for normal approximation)</w:t>
            </w:r>
          </w:p>
        </w:tc>
        <w:tc>
          <w:tcPr>
            <w:tcW w:w="52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7083" w:rsidRPr="007E7083" w:rsidRDefault="007E7083" w:rsidP="007E70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7E7083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1.5000</w:t>
            </w:r>
          </w:p>
        </w:tc>
      </w:tr>
      <w:tr w:rsidR="007E7083" w:rsidRPr="007E7083" w:rsidTr="004414CC">
        <w:trPr>
          <w:trHeight w:val="249"/>
        </w:trPr>
        <w:tc>
          <w:tcPr>
            <w:tcW w:w="4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83" w:rsidRPr="007E7083" w:rsidRDefault="007E7083" w:rsidP="007E70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7E7083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Fisher's Exact probability P-Value (2-sided)</w:t>
            </w:r>
          </w:p>
        </w:tc>
        <w:tc>
          <w:tcPr>
            <w:tcW w:w="52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E7083" w:rsidRPr="007E7083" w:rsidRDefault="007E7083" w:rsidP="007E70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7E7083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1.0000</w:t>
            </w:r>
          </w:p>
        </w:tc>
      </w:tr>
      <w:tr w:rsidR="007E7083" w:rsidRPr="007E7083" w:rsidTr="004414CC">
        <w:trPr>
          <w:trHeight w:val="308"/>
        </w:trPr>
        <w:tc>
          <w:tcPr>
            <w:tcW w:w="45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83" w:rsidRPr="007E7083" w:rsidRDefault="007E7083" w:rsidP="007E70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7E7083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Upper Confidence Limit (2-sided)</w:t>
            </w:r>
          </w:p>
        </w:tc>
        <w:tc>
          <w:tcPr>
            <w:tcW w:w="521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E7083" w:rsidRPr="007E7083" w:rsidRDefault="007E7083" w:rsidP="007E70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7E7083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0.2362</w:t>
            </w:r>
          </w:p>
        </w:tc>
      </w:tr>
      <w:tr w:rsidR="007E7083" w:rsidRPr="007E7083" w:rsidTr="004414CC">
        <w:trPr>
          <w:trHeight w:val="318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083" w:rsidRPr="007E7083" w:rsidRDefault="007E7083" w:rsidP="007E70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7E7083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Lower Confidence Limit (2-sided)</w:t>
            </w:r>
          </w:p>
        </w:tc>
        <w:tc>
          <w:tcPr>
            <w:tcW w:w="521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E7083" w:rsidRPr="007E7083" w:rsidRDefault="007E7083" w:rsidP="007E70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7E7083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-0.4205</w:t>
            </w:r>
          </w:p>
        </w:tc>
      </w:tr>
      <w:tr w:rsidR="007E7083" w:rsidRPr="007E7083" w:rsidTr="004414CC">
        <w:trPr>
          <w:trHeight w:val="313"/>
        </w:trPr>
        <w:tc>
          <w:tcPr>
            <w:tcW w:w="9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7E7083" w:rsidRPr="007E7083" w:rsidRDefault="007E7083" w:rsidP="007E70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</w:pPr>
            <w:r w:rsidRPr="007E7083">
              <w:rPr>
                <w:rFonts w:ascii="Arial" w:eastAsia="Times New Roman" w:hAnsi="Arial" w:cs="Arial"/>
                <w:bCs/>
                <w:sz w:val="16"/>
                <w:szCs w:val="16"/>
                <w:lang w:val="en-US" w:eastAsia="en-US"/>
              </w:rPr>
              <w:t>Interpretation of P-Value and Confidence Intervals</w:t>
            </w:r>
          </w:p>
        </w:tc>
      </w:tr>
      <w:tr w:rsidR="007E7083" w:rsidRPr="007E7083" w:rsidTr="004414CC">
        <w:trPr>
          <w:trHeight w:val="447"/>
        </w:trPr>
        <w:tc>
          <w:tcPr>
            <w:tcW w:w="974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E7083" w:rsidRPr="007E7083" w:rsidRDefault="007E7083" w:rsidP="007E70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r w:rsidRPr="007E7083"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  <w:t xml:space="preserve">The P-Value is the two-sided (two-tail) probability of observing a difference in proportions at least as extreme as -0.1000, given that the null hypothesis is true. Since the P-Value is greater than </w:t>
            </w:r>
            <w:proofErr w:type="gramStart"/>
            <w:r w:rsidRPr="007E7083"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  <w:t>alpha</w:t>
            </w:r>
            <w:proofErr w:type="gramEnd"/>
            <w:r w:rsidRPr="007E7083"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  <w:t xml:space="preserve"> (0.05), we fail to reject the null hypothesis H0: P1 - P2 = 0.</w:t>
            </w:r>
          </w:p>
        </w:tc>
      </w:tr>
      <w:tr w:rsidR="007E7083" w:rsidRPr="007E7083" w:rsidTr="004414CC">
        <w:trPr>
          <w:trHeight w:val="308"/>
        </w:trPr>
        <w:tc>
          <w:tcPr>
            <w:tcW w:w="974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083" w:rsidRPr="007E7083" w:rsidRDefault="007E7083" w:rsidP="007E70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r w:rsidRPr="007E7083"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  <w:t>We are 95% confident that the true difference in population proportions lies within the interval (-0.4205 to 0.2362).</w:t>
            </w:r>
          </w:p>
        </w:tc>
      </w:tr>
    </w:tbl>
    <w:p w:rsidR="007E7083" w:rsidRPr="00567DC5" w:rsidRDefault="007E7083" w:rsidP="007E7083">
      <w:pPr>
        <w:jc w:val="both"/>
        <w:rPr>
          <w:b/>
        </w:rPr>
      </w:pPr>
    </w:p>
    <w:p w:rsidR="007E7083" w:rsidRDefault="007E7083" w:rsidP="00AC769C"/>
    <w:sectPr w:rsidR="007E7083" w:rsidSect="00593926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164" w:rsidRDefault="00195164" w:rsidP="001219E1">
      <w:pPr>
        <w:spacing w:after="0" w:line="240" w:lineRule="auto"/>
      </w:pPr>
      <w:r>
        <w:separator/>
      </w:r>
    </w:p>
  </w:endnote>
  <w:endnote w:type="continuationSeparator" w:id="0">
    <w:p w:rsidR="00195164" w:rsidRDefault="00195164" w:rsidP="0012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164" w:rsidRDefault="00195164" w:rsidP="001219E1">
      <w:pPr>
        <w:spacing w:after="0" w:line="240" w:lineRule="auto"/>
      </w:pPr>
      <w:r>
        <w:separator/>
      </w:r>
    </w:p>
  </w:footnote>
  <w:footnote w:type="continuationSeparator" w:id="0">
    <w:p w:rsidR="00195164" w:rsidRDefault="00195164" w:rsidP="00121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654AC"/>
    <w:multiLevelType w:val="hybridMultilevel"/>
    <w:tmpl w:val="FF88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A14F4"/>
    <w:multiLevelType w:val="hybridMultilevel"/>
    <w:tmpl w:val="3B8022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5B2A"/>
    <w:rsid w:val="000507AD"/>
    <w:rsid w:val="000A52FC"/>
    <w:rsid w:val="001219E1"/>
    <w:rsid w:val="00195164"/>
    <w:rsid w:val="001E76A7"/>
    <w:rsid w:val="002828EA"/>
    <w:rsid w:val="00355B2A"/>
    <w:rsid w:val="003947E4"/>
    <w:rsid w:val="004414CC"/>
    <w:rsid w:val="00485AD6"/>
    <w:rsid w:val="00567DC5"/>
    <w:rsid w:val="00593926"/>
    <w:rsid w:val="005F06F5"/>
    <w:rsid w:val="0064221C"/>
    <w:rsid w:val="00757D47"/>
    <w:rsid w:val="007C208E"/>
    <w:rsid w:val="007E7083"/>
    <w:rsid w:val="009D61AB"/>
    <w:rsid w:val="00A4028B"/>
    <w:rsid w:val="00AC769C"/>
    <w:rsid w:val="00B81A3E"/>
    <w:rsid w:val="00C44FB8"/>
    <w:rsid w:val="00DF298E"/>
    <w:rsid w:val="00E60928"/>
    <w:rsid w:val="00F71665"/>
    <w:rsid w:val="00FC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basedOn w:val="TableNormal"/>
    <w:uiPriority w:val="46"/>
    <w:rsid w:val="00757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C76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9E1"/>
  </w:style>
  <w:style w:type="paragraph" w:styleId="Footer">
    <w:name w:val="footer"/>
    <w:basedOn w:val="Normal"/>
    <w:link w:val="FooterChar"/>
    <w:uiPriority w:val="99"/>
    <w:unhideWhenUsed/>
    <w:rsid w:val="00121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9E1"/>
  </w:style>
  <w:style w:type="paragraph" w:styleId="BalloonText">
    <w:name w:val="Balloon Text"/>
    <w:basedOn w:val="Normal"/>
    <w:link w:val="BalloonTextChar"/>
    <w:uiPriority w:val="99"/>
    <w:semiHidden/>
    <w:unhideWhenUsed/>
    <w:rsid w:val="007C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n10182322\AppData\Local\Packages\Microsoft.MicrosoftEdge_8wekyb3d8bbwe\TempState\Downloads\DR%20VS%20CD%20(variables)%20(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4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AU"/>
              <a:t>Report Type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5.5282828776837677E-2"/>
          <c:y val="7.3709845706615887E-2"/>
          <c:w val="0.86800298291404387"/>
          <c:h val="0.91050232339551707"/>
        </c:manualLayout>
      </c:layout>
      <c:scatterChart>
        <c:scatterStyle val="lineMarker"/>
        <c:ser>
          <c:idx val="0"/>
          <c:order val="0"/>
          <c:tx>
            <c:v>Median</c:v>
          </c:tx>
          <c:spPr>
            <a:ln w="952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'[DR VS CD (variables) (1).xlsx]Boxplot (1)'!$L$100:$L$203</c:f>
              <c:numCache>
                <c:formatCode>General</c:formatCode>
                <c:ptCount val="10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  <c:pt idx="6">
                  <c:v>4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2</c:v>
                </c:pt>
                <c:pt idx="11">
                  <c:v>2</c:v>
                </c:pt>
                <c:pt idx="12">
                  <c:v>4</c:v>
                </c:pt>
                <c:pt idx="13">
                  <c:v>6</c:v>
                </c:pt>
                <c:pt idx="14">
                  <c:v>6</c:v>
                </c:pt>
                <c:pt idx="15">
                  <c:v>7</c:v>
                </c:pt>
                <c:pt idx="16">
                  <c:v>7</c:v>
                </c:pt>
                <c:pt idx="17">
                  <c:v>7</c:v>
                </c:pt>
                <c:pt idx="18">
                  <c:v>8</c:v>
                </c:pt>
                <c:pt idx="19">
                  <c:v>8</c:v>
                </c:pt>
                <c:pt idx="20">
                  <c:v>7</c:v>
                </c:pt>
                <c:pt idx="21">
                  <c:v>7</c:v>
                </c:pt>
                <c:pt idx="22">
                  <c:v>7</c:v>
                </c:pt>
                <c:pt idx="23">
                  <c:v>6</c:v>
                </c:pt>
                <c:pt idx="24">
                  <c:v>6</c:v>
                </c:pt>
                <c:pt idx="25">
                  <c:v>8</c:v>
                </c:pt>
                <c:pt idx="26">
                  <c:v>10</c:v>
                </c:pt>
                <c:pt idx="27">
                  <c:v>10</c:v>
                </c:pt>
                <c:pt idx="28">
                  <c:v>11</c:v>
                </c:pt>
                <c:pt idx="29">
                  <c:v>11</c:v>
                </c:pt>
                <c:pt idx="30">
                  <c:v>11</c:v>
                </c:pt>
                <c:pt idx="31">
                  <c:v>12</c:v>
                </c:pt>
                <c:pt idx="32">
                  <c:v>12</c:v>
                </c:pt>
                <c:pt idx="33">
                  <c:v>11</c:v>
                </c:pt>
                <c:pt idx="34">
                  <c:v>11</c:v>
                </c:pt>
                <c:pt idx="35">
                  <c:v>11</c:v>
                </c:pt>
                <c:pt idx="36">
                  <c:v>10</c:v>
                </c:pt>
                <c:pt idx="37">
                  <c:v>10</c:v>
                </c:pt>
                <c:pt idx="38">
                  <c:v>12</c:v>
                </c:pt>
                <c:pt idx="39">
                  <c:v>14</c:v>
                </c:pt>
                <c:pt idx="40">
                  <c:v>14</c:v>
                </c:pt>
                <c:pt idx="41">
                  <c:v>15</c:v>
                </c:pt>
                <c:pt idx="42">
                  <c:v>15</c:v>
                </c:pt>
                <c:pt idx="43">
                  <c:v>15</c:v>
                </c:pt>
                <c:pt idx="44">
                  <c:v>16</c:v>
                </c:pt>
                <c:pt idx="45">
                  <c:v>16</c:v>
                </c:pt>
                <c:pt idx="46">
                  <c:v>15</c:v>
                </c:pt>
                <c:pt idx="47">
                  <c:v>15</c:v>
                </c:pt>
                <c:pt idx="48">
                  <c:v>15</c:v>
                </c:pt>
                <c:pt idx="49">
                  <c:v>14</c:v>
                </c:pt>
                <c:pt idx="50">
                  <c:v>14</c:v>
                </c:pt>
                <c:pt idx="51">
                  <c:v>16</c:v>
                </c:pt>
                <c:pt idx="52">
                  <c:v>18</c:v>
                </c:pt>
                <c:pt idx="53">
                  <c:v>18</c:v>
                </c:pt>
                <c:pt idx="54">
                  <c:v>19</c:v>
                </c:pt>
                <c:pt idx="55">
                  <c:v>19</c:v>
                </c:pt>
                <c:pt idx="56">
                  <c:v>19</c:v>
                </c:pt>
                <c:pt idx="57">
                  <c:v>20</c:v>
                </c:pt>
                <c:pt idx="58">
                  <c:v>20</c:v>
                </c:pt>
                <c:pt idx="59">
                  <c:v>19</c:v>
                </c:pt>
                <c:pt idx="60">
                  <c:v>19</c:v>
                </c:pt>
                <c:pt idx="61">
                  <c:v>19</c:v>
                </c:pt>
                <c:pt idx="62">
                  <c:v>18</c:v>
                </c:pt>
                <c:pt idx="63">
                  <c:v>18</c:v>
                </c:pt>
                <c:pt idx="64">
                  <c:v>20</c:v>
                </c:pt>
                <c:pt idx="65">
                  <c:v>22</c:v>
                </c:pt>
                <c:pt idx="66">
                  <c:v>22</c:v>
                </c:pt>
                <c:pt idx="67">
                  <c:v>23</c:v>
                </c:pt>
                <c:pt idx="68">
                  <c:v>23</c:v>
                </c:pt>
                <c:pt idx="69">
                  <c:v>23</c:v>
                </c:pt>
                <c:pt idx="70">
                  <c:v>24</c:v>
                </c:pt>
                <c:pt idx="71">
                  <c:v>24</c:v>
                </c:pt>
                <c:pt idx="72">
                  <c:v>23</c:v>
                </c:pt>
                <c:pt idx="73">
                  <c:v>23</c:v>
                </c:pt>
                <c:pt idx="74">
                  <c:v>23</c:v>
                </c:pt>
                <c:pt idx="75">
                  <c:v>22</c:v>
                </c:pt>
                <c:pt idx="76">
                  <c:v>22</c:v>
                </c:pt>
                <c:pt idx="77">
                  <c:v>24</c:v>
                </c:pt>
                <c:pt idx="78">
                  <c:v>26</c:v>
                </c:pt>
                <c:pt idx="79">
                  <c:v>26</c:v>
                </c:pt>
                <c:pt idx="80">
                  <c:v>27</c:v>
                </c:pt>
                <c:pt idx="81">
                  <c:v>27</c:v>
                </c:pt>
                <c:pt idx="82">
                  <c:v>27</c:v>
                </c:pt>
                <c:pt idx="83">
                  <c:v>28</c:v>
                </c:pt>
                <c:pt idx="84">
                  <c:v>28</c:v>
                </c:pt>
                <c:pt idx="85">
                  <c:v>27</c:v>
                </c:pt>
                <c:pt idx="86">
                  <c:v>27</c:v>
                </c:pt>
                <c:pt idx="87">
                  <c:v>27</c:v>
                </c:pt>
                <c:pt idx="88">
                  <c:v>26</c:v>
                </c:pt>
                <c:pt idx="89">
                  <c:v>26</c:v>
                </c:pt>
                <c:pt idx="90">
                  <c:v>28</c:v>
                </c:pt>
                <c:pt idx="91">
                  <c:v>30</c:v>
                </c:pt>
                <c:pt idx="92">
                  <c:v>30</c:v>
                </c:pt>
                <c:pt idx="93">
                  <c:v>31</c:v>
                </c:pt>
                <c:pt idx="94">
                  <c:v>31</c:v>
                </c:pt>
                <c:pt idx="95">
                  <c:v>31</c:v>
                </c:pt>
                <c:pt idx="96">
                  <c:v>32</c:v>
                </c:pt>
                <c:pt idx="97">
                  <c:v>32</c:v>
                </c:pt>
                <c:pt idx="98">
                  <c:v>31</c:v>
                </c:pt>
                <c:pt idx="99">
                  <c:v>31</c:v>
                </c:pt>
                <c:pt idx="100">
                  <c:v>31</c:v>
                </c:pt>
                <c:pt idx="101">
                  <c:v>30</c:v>
                </c:pt>
                <c:pt idx="102">
                  <c:v>30</c:v>
                </c:pt>
                <c:pt idx="103">
                  <c:v>32</c:v>
                </c:pt>
              </c:numCache>
            </c:numRef>
          </c:xVal>
          <c:yVal>
            <c:numRef>
              <c:f>'[DR VS CD (variables) (1).xlsx]Boxplot (1)'!$M$100:$M$203</c:f>
              <c:numCache>
                <c:formatCode>General</c:formatCode>
                <c:ptCount val="104"/>
                <c:pt idx="0">
                  <c:v>5.915</c:v>
                </c:pt>
                <c:pt idx="1">
                  <c:v>6.6824999999999983</c:v>
                </c:pt>
                <c:pt idx="2">
                  <c:v>6.6824999999999983</c:v>
                </c:pt>
                <c:pt idx="3">
                  <c:v>6.9</c:v>
                </c:pt>
                <c:pt idx="4">
                  <c:v>6.6824999999999983</c:v>
                </c:pt>
                <c:pt idx="5">
                  <c:v>6.6824999999999983</c:v>
                </c:pt>
                <c:pt idx="6">
                  <c:v>5.79</c:v>
                </c:pt>
                <c:pt idx="7">
                  <c:v>5.79</c:v>
                </c:pt>
                <c:pt idx="8" formatCode="0.000">
                  <c:v>5.49</c:v>
                </c:pt>
                <c:pt idx="9">
                  <c:v>5.79</c:v>
                </c:pt>
                <c:pt idx="10">
                  <c:v>5.79</c:v>
                </c:pt>
                <c:pt idx="11">
                  <c:v>5.915</c:v>
                </c:pt>
                <c:pt idx="12">
                  <c:v>5.915</c:v>
                </c:pt>
                <c:pt idx="13">
                  <c:v>2.3476867782944519</c:v>
                </c:pt>
                <c:pt idx="14">
                  <c:v>5.3725000000000005</c:v>
                </c:pt>
                <c:pt idx="15">
                  <c:v>5.3725000000000005</c:v>
                </c:pt>
                <c:pt idx="16">
                  <c:v>5.89</c:v>
                </c:pt>
                <c:pt idx="17">
                  <c:v>5.3725000000000005</c:v>
                </c:pt>
                <c:pt idx="18">
                  <c:v>5.3725000000000005</c:v>
                </c:pt>
                <c:pt idx="19">
                  <c:v>1.7984081707168584</c:v>
                </c:pt>
                <c:pt idx="20">
                  <c:v>1.7984081707168584</c:v>
                </c:pt>
                <c:pt idx="21" formatCode="0.000">
                  <c:v>0.86848171833910426</c:v>
                </c:pt>
                <c:pt idx="22">
                  <c:v>1.7984081707168584</c:v>
                </c:pt>
                <c:pt idx="23">
                  <c:v>1.7984081707168584</c:v>
                </c:pt>
                <c:pt idx="24">
                  <c:v>2.3476867782944519</c:v>
                </c:pt>
                <c:pt idx="25">
                  <c:v>2.3476867782944519</c:v>
                </c:pt>
                <c:pt idx="26">
                  <c:v>1.7068284160199916</c:v>
                </c:pt>
                <c:pt idx="27">
                  <c:v>2.6465175244221282</c:v>
                </c:pt>
                <c:pt idx="28">
                  <c:v>2.6465175244221282</c:v>
                </c:pt>
                <c:pt idx="29">
                  <c:v>2.9439841888545906</c:v>
                </c:pt>
                <c:pt idx="30">
                  <c:v>2.6465175244221282</c:v>
                </c:pt>
                <c:pt idx="31">
                  <c:v>2.6465175244221282</c:v>
                </c:pt>
                <c:pt idx="32">
                  <c:v>1.171585426059595</c:v>
                </c:pt>
                <c:pt idx="33">
                  <c:v>1.171585426059595</c:v>
                </c:pt>
                <c:pt idx="34" formatCode="0.000">
                  <c:v>0.4357541036520049</c:v>
                </c:pt>
                <c:pt idx="35">
                  <c:v>1.171585426059595</c:v>
                </c:pt>
                <c:pt idx="36">
                  <c:v>1.171585426059595</c:v>
                </c:pt>
                <c:pt idx="37">
                  <c:v>1.7068284160199916</c:v>
                </c:pt>
                <c:pt idx="38">
                  <c:v>1.7068284160199916</c:v>
                </c:pt>
                <c:pt idx="39">
                  <c:v>4.54</c:v>
                </c:pt>
                <c:pt idx="40">
                  <c:v>4.7</c:v>
                </c:pt>
                <c:pt idx="41">
                  <c:v>4.7</c:v>
                </c:pt>
                <c:pt idx="42">
                  <c:v>4.78</c:v>
                </c:pt>
                <c:pt idx="43">
                  <c:v>4.7</c:v>
                </c:pt>
                <c:pt idx="44">
                  <c:v>4.7</c:v>
                </c:pt>
                <c:pt idx="45">
                  <c:v>4.46</c:v>
                </c:pt>
                <c:pt idx="46">
                  <c:v>4.46</c:v>
                </c:pt>
                <c:pt idx="47" formatCode="0.000">
                  <c:v>4.4000000000000004</c:v>
                </c:pt>
                <c:pt idx="48">
                  <c:v>4.46</c:v>
                </c:pt>
                <c:pt idx="49">
                  <c:v>4.46</c:v>
                </c:pt>
                <c:pt idx="50">
                  <c:v>4.54</c:v>
                </c:pt>
                <c:pt idx="51">
                  <c:v>4.54</c:v>
                </c:pt>
                <c:pt idx="52">
                  <c:v>3.6020560734639284</c:v>
                </c:pt>
                <c:pt idx="53">
                  <c:v>4.2611241342106121</c:v>
                </c:pt>
                <c:pt idx="54">
                  <c:v>4.2611241342106121</c:v>
                </c:pt>
                <c:pt idx="55">
                  <c:v>5.42</c:v>
                </c:pt>
                <c:pt idx="56">
                  <c:v>4.2611241342106121</c:v>
                </c:pt>
                <c:pt idx="57">
                  <c:v>4.2611241342106121</c:v>
                </c:pt>
                <c:pt idx="58">
                  <c:v>2.4927389352222598</c:v>
                </c:pt>
                <c:pt idx="59">
                  <c:v>2.4927389352222598</c:v>
                </c:pt>
                <c:pt idx="60" formatCode="0.000">
                  <c:v>0.77198545281304376</c:v>
                </c:pt>
                <c:pt idx="61">
                  <c:v>2.4927389352222598</c:v>
                </c:pt>
                <c:pt idx="62">
                  <c:v>2.4927389352222598</c:v>
                </c:pt>
                <c:pt idx="63">
                  <c:v>3.6020560734639284</c:v>
                </c:pt>
                <c:pt idx="64">
                  <c:v>3.6020560734639284</c:v>
                </c:pt>
                <c:pt idx="65">
                  <c:v>1.6328704847792799</c:v>
                </c:pt>
                <c:pt idx="66">
                  <c:v>2.4080821745543406</c:v>
                </c:pt>
                <c:pt idx="67">
                  <c:v>2.4080821745543406</c:v>
                </c:pt>
                <c:pt idx="68">
                  <c:v>3.5567529024725042</c:v>
                </c:pt>
                <c:pt idx="69">
                  <c:v>2.4080821745543406</c:v>
                </c:pt>
                <c:pt idx="70">
                  <c:v>2.4080821745543406</c:v>
                </c:pt>
                <c:pt idx="71">
                  <c:v>1.1245202876095259</c:v>
                </c:pt>
                <c:pt idx="72">
                  <c:v>1.1245202876095259</c:v>
                </c:pt>
                <c:pt idx="73" formatCode="0.000">
                  <c:v>0.2056447573846385</c:v>
                </c:pt>
                <c:pt idx="74">
                  <c:v>1.1245202876095259</c:v>
                </c:pt>
                <c:pt idx="75">
                  <c:v>1.1245202876095259</c:v>
                </c:pt>
                <c:pt idx="76">
                  <c:v>1.6328704847792799</c:v>
                </c:pt>
                <c:pt idx="77">
                  <c:v>1.6328704847792799</c:v>
                </c:pt>
                <c:pt idx="78">
                  <c:v>4.0390103188528563</c:v>
                </c:pt>
                <c:pt idx="79">
                  <c:v>5.1949999999999976</c:v>
                </c:pt>
                <c:pt idx="80">
                  <c:v>5.1949999999999976</c:v>
                </c:pt>
                <c:pt idx="81">
                  <c:v>5.57</c:v>
                </c:pt>
                <c:pt idx="82">
                  <c:v>5.1949999999999976</c:v>
                </c:pt>
                <c:pt idx="83">
                  <c:v>5.1949999999999976</c:v>
                </c:pt>
                <c:pt idx="84">
                  <c:v>1.9207204043515913</c:v>
                </c:pt>
                <c:pt idx="85">
                  <c:v>1.9207204043515913</c:v>
                </c:pt>
                <c:pt idx="86" formatCode="0.000">
                  <c:v>1.65154497542973</c:v>
                </c:pt>
                <c:pt idx="87">
                  <c:v>1.9207204043515913</c:v>
                </c:pt>
                <c:pt idx="88">
                  <c:v>1.9207204043515913</c:v>
                </c:pt>
                <c:pt idx="89">
                  <c:v>4.0390103188528563</c:v>
                </c:pt>
                <c:pt idx="90">
                  <c:v>4.0390103188528563</c:v>
                </c:pt>
                <c:pt idx="91">
                  <c:v>5.9950000000000001</c:v>
                </c:pt>
                <c:pt idx="92">
                  <c:v>6.89</c:v>
                </c:pt>
                <c:pt idx="93">
                  <c:v>6.89</c:v>
                </c:pt>
                <c:pt idx="94">
                  <c:v>8.43</c:v>
                </c:pt>
                <c:pt idx="95">
                  <c:v>6.89</c:v>
                </c:pt>
                <c:pt idx="96">
                  <c:v>6.89</c:v>
                </c:pt>
                <c:pt idx="97">
                  <c:v>3.9952014706493117</c:v>
                </c:pt>
                <c:pt idx="98">
                  <c:v>3.9952014706493117</c:v>
                </c:pt>
                <c:pt idx="99" formatCode="0.000">
                  <c:v>0.25445865487354424</c:v>
                </c:pt>
                <c:pt idx="100">
                  <c:v>3.9952014706493117</c:v>
                </c:pt>
                <c:pt idx="101">
                  <c:v>3.9952014706493117</c:v>
                </c:pt>
                <c:pt idx="102">
                  <c:v>5.9950000000000001</c:v>
                </c:pt>
                <c:pt idx="103">
                  <c:v>5.9950000000000001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0-D54D-44E8-9ADF-7B30673FF451}"/>
            </c:ext>
          </c:extLst>
        </c:ser>
        <c:ser>
          <c:idx val="1"/>
          <c:order val="1"/>
          <c:tx>
            <c:strRef>
              <c:f>'[DR VS CD (variables) (1).xlsx]Boxplot (1)'!$A$50</c:f>
              <c:strCache>
                <c:ptCount val="1"/>
                <c:pt idx="0">
                  <c:v>Balances</c:v>
                </c:pt>
              </c:strCache>
            </c:strRef>
          </c:tx>
          <c:spPr>
            <a:ln w="952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SerNam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xVal>
            <c:numRef>
              <c:f>'[DR VS CD (variables) (1).xlsx]Boxplot (1)'!$B$50</c:f>
              <c:numCache>
                <c:formatCode>General</c:formatCode>
                <c:ptCount val="1"/>
                <c:pt idx="0">
                  <c:v>3</c:v>
                </c:pt>
              </c:numCache>
            </c:numRef>
          </c:xVal>
          <c:yVal>
            <c:numLit>
              <c:formatCode>General</c:formatCode>
              <c:ptCount val="1"/>
              <c:pt idx="0">
                <c:v>0.2056447573846385</c:v>
              </c:pt>
            </c:numLit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1-D54D-44E8-9ADF-7B30673FF451}"/>
            </c:ext>
          </c:extLst>
        </c:ser>
        <c:ser>
          <c:idx val="2"/>
          <c:order val="2"/>
          <c:tx>
            <c:strRef>
              <c:f>'[DR VS CD (variables) (1).xlsx]Boxplot (1)'!$A$51</c:f>
              <c:strCache>
                <c:ptCount val="1"/>
                <c:pt idx="0">
                  <c:v>Capex</c:v>
                </c:pt>
              </c:strCache>
            </c:strRef>
          </c:tx>
          <c:spPr>
            <a:ln w="952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SerNam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xVal>
            <c:numRef>
              <c:f>'[DR VS CD (variables) (1).xlsx]Boxplot (1)'!$B$51</c:f>
              <c:numCache>
                <c:formatCode>General</c:formatCode>
                <c:ptCount val="1"/>
                <c:pt idx="0">
                  <c:v>7</c:v>
                </c:pt>
              </c:numCache>
            </c:numRef>
          </c:xVal>
          <c:yVal>
            <c:numLit>
              <c:formatCode>General</c:formatCode>
              <c:ptCount val="1"/>
              <c:pt idx="0">
                <c:v>0.2056447573846385</c:v>
              </c:pt>
            </c:numLit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2-D54D-44E8-9ADF-7B30673FF451}"/>
            </c:ext>
          </c:extLst>
        </c:ser>
        <c:ser>
          <c:idx val="3"/>
          <c:order val="3"/>
          <c:tx>
            <c:strRef>
              <c:f>'[DR VS CD (variables) (1).xlsx]Boxplot (1)'!$A$52</c:f>
              <c:strCache>
                <c:ptCount val="1"/>
                <c:pt idx="0">
                  <c:v>Demand Prices</c:v>
                </c:pt>
              </c:strCache>
            </c:strRef>
          </c:tx>
          <c:spPr>
            <a:ln w="952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SerNam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xVal>
            <c:numRef>
              <c:f>'[DR VS CD (variables) (1).xlsx]Boxplot (1)'!$B$52</c:f>
              <c:numCache>
                <c:formatCode>General</c:formatCode>
                <c:ptCount val="1"/>
                <c:pt idx="0">
                  <c:v>11</c:v>
                </c:pt>
              </c:numCache>
            </c:numRef>
          </c:xVal>
          <c:yVal>
            <c:numLit>
              <c:formatCode>General</c:formatCode>
              <c:ptCount val="1"/>
              <c:pt idx="0">
                <c:v>0.2056447573846385</c:v>
              </c:pt>
            </c:numLit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3-D54D-44E8-9ADF-7B30673FF451}"/>
            </c:ext>
          </c:extLst>
        </c:ser>
        <c:ser>
          <c:idx val="4"/>
          <c:order val="4"/>
          <c:tx>
            <c:strRef>
              <c:f>'[DR VS CD (variables) (1).xlsx]Boxplot (1)'!$A$53</c:f>
              <c:strCache>
                <c:ptCount val="1"/>
                <c:pt idx="0">
                  <c:v>Demand Volume</c:v>
                </c:pt>
              </c:strCache>
            </c:strRef>
          </c:tx>
          <c:spPr>
            <a:ln w="952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SerNam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xVal>
            <c:numRef>
              <c:f>'[DR VS CD (variables) (1).xlsx]Boxplot (1)'!$B$53</c:f>
              <c:numCache>
                <c:formatCode>General</c:formatCode>
                <c:ptCount val="1"/>
                <c:pt idx="0">
                  <c:v>15</c:v>
                </c:pt>
              </c:numCache>
            </c:numRef>
          </c:xVal>
          <c:yVal>
            <c:numLit>
              <c:formatCode>General</c:formatCode>
              <c:ptCount val="1"/>
              <c:pt idx="0">
                <c:v>0.2056447573846385</c:v>
              </c:pt>
            </c:numLit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4-D54D-44E8-9ADF-7B30673FF451}"/>
            </c:ext>
          </c:extLst>
        </c:ser>
        <c:ser>
          <c:idx val="5"/>
          <c:order val="5"/>
          <c:tx>
            <c:strRef>
              <c:f>'[DR VS CD (variables) (1).xlsx]Boxplot (1)'!$A$54</c:f>
              <c:strCache>
                <c:ptCount val="1"/>
                <c:pt idx="0">
                  <c:v>Exploration</c:v>
                </c:pt>
              </c:strCache>
            </c:strRef>
          </c:tx>
          <c:spPr>
            <a:ln w="952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SerNam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xVal>
            <c:numRef>
              <c:f>'[DR VS CD (variables) (1).xlsx]Boxplot (1)'!$B$54</c:f>
              <c:numCache>
                <c:formatCode>General</c:formatCode>
                <c:ptCount val="1"/>
                <c:pt idx="0">
                  <c:v>19</c:v>
                </c:pt>
              </c:numCache>
            </c:numRef>
          </c:xVal>
          <c:yVal>
            <c:numLit>
              <c:formatCode>General</c:formatCode>
              <c:ptCount val="1"/>
              <c:pt idx="0">
                <c:v>0.2056447573846385</c:v>
              </c:pt>
            </c:numLit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5-D54D-44E8-9ADF-7B30673FF451}"/>
            </c:ext>
          </c:extLst>
        </c:ser>
        <c:ser>
          <c:idx val="6"/>
          <c:order val="6"/>
          <c:tx>
            <c:strRef>
              <c:f>'[DR VS CD (variables) (1).xlsx]Boxplot (1)'!$A$55</c:f>
              <c:strCache>
                <c:ptCount val="1"/>
                <c:pt idx="0">
                  <c:v>Inventory</c:v>
                </c:pt>
              </c:strCache>
            </c:strRef>
          </c:tx>
          <c:spPr>
            <a:ln w="952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SerNam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xVal>
            <c:numRef>
              <c:f>'[DR VS CD (variables) (1).xlsx]Boxplot (1)'!$B$55</c:f>
              <c:numCache>
                <c:formatCode>General</c:formatCode>
                <c:ptCount val="1"/>
                <c:pt idx="0">
                  <c:v>23</c:v>
                </c:pt>
              </c:numCache>
            </c:numRef>
          </c:xVal>
          <c:yVal>
            <c:numLit>
              <c:formatCode>General</c:formatCode>
              <c:ptCount val="1"/>
              <c:pt idx="0">
                <c:v>0.2056447573846385</c:v>
              </c:pt>
            </c:numLit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6-D54D-44E8-9ADF-7B30673FF451}"/>
            </c:ext>
          </c:extLst>
        </c:ser>
        <c:ser>
          <c:idx val="7"/>
          <c:order val="7"/>
          <c:tx>
            <c:strRef>
              <c:f>'[DR VS CD (variables) (1).xlsx]Boxplot (1)'!$A$56</c:f>
              <c:strCache>
                <c:ptCount val="1"/>
                <c:pt idx="0">
                  <c:v>Opex</c:v>
                </c:pt>
              </c:strCache>
            </c:strRef>
          </c:tx>
          <c:spPr>
            <a:ln w="952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SerNam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xVal>
            <c:numRef>
              <c:f>'[DR VS CD (variables) (1).xlsx]Boxplot (1)'!$B$56</c:f>
              <c:numCache>
                <c:formatCode>General</c:formatCode>
                <c:ptCount val="1"/>
                <c:pt idx="0">
                  <c:v>27</c:v>
                </c:pt>
              </c:numCache>
            </c:numRef>
          </c:xVal>
          <c:yVal>
            <c:numLit>
              <c:formatCode>General</c:formatCode>
              <c:ptCount val="1"/>
              <c:pt idx="0">
                <c:v>0.2056447573846385</c:v>
              </c:pt>
            </c:numLit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7-D54D-44E8-9ADF-7B30673FF451}"/>
            </c:ext>
          </c:extLst>
        </c:ser>
        <c:ser>
          <c:idx val="8"/>
          <c:order val="8"/>
          <c:tx>
            <c:strRef>
              <c:f>'[DR VS CD (variables) (1).xlsx]Boxplot (1)'!$A$57</c:f>
              <c:strCache>
                <c:ptCount val="1"/>
                <c:pt idx="0">
                  <c:v>Prod Volume</c:v>
                </c:pt>
              </c:strCache>
            </c:strRef>
          </c:tx>
          <c:spPr>
            <a:ln w="952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SerNam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xVal>
            <c:numRef>
              <c:f>'[DR VS CD (variables) (1).xlsx]Boxplot (1)'!$B$57</c:f>
              <c:numCache>
                <c:formatCode>General</c:formatCode>
                <c:ptCount val="1"/>
                <c:pt idx="0">
                  <c:v>31</c:v>
                </c:pt>
              </c:numCache>
            </c:numRef>
          </c:xVal>
          <c:yVal>
            <c:numLit>
              <c:formatCode>General</c:formatCode>
              <c:ptCount val="1"/>
              <c:pt idx="0">
                <c:v>0.2056447573846385</c:v>
              </c:pt>
            </c:numLit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8-D54D-44E8-9ADF-7B30673FF451}"/>
            </c:ext>
          </c:extLst>
        </c:ser>
        <c:ser>
          <c:idx val="9"/>
          <c:order val="9"/>
          <c:tx>
            <c:v>25th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>
                <a:solidFill>
                  <a:schemeClr val="accent4">
                    <a:lumMod val="60000"/>
                  </a:schemeClr>
                </a:solidFill>
                <a:round/>
              </a:ln>
              <a:effectLst/>
            </c:spPr>
          </c:marker>
          <c:xVal>
            <c:numRef>
              <c:f>'[DR VS CD (variables) (1).xlsx]Boxplot (1)'!$AD$1000:$AD$1015</c:f>
              <c:numCache>
                <c:formatCode>General</c:formatCode>
                <c:ptCount val="16"/>
                <c:pt idx="0">
                  <c:v>3</c:v>
                </c:pt>
                <c:pt idx="1">
                  <c:v>3</c:v>
                </c:pt>
                <c:pt idx="2">
                  <c:v>7</c:v>
                </c:pt>
                <c:pt idx="3">
                  <c:v>7</c:v>
                </c:pt>
                <c:pt idx="4">
                  <c:v>11</c:v>
                </c:pt>
                <c:pt idx="5">
                  <c:v>11</c:v>
                </c:pt>
                <c:pt idx="6">
                  <c:v>15</c:v>
                </c:pt>
                <c:pt idx="7">
                  <c:v>15</c:v>
                </c:pt>
                <c:pt idx="8">
                  <c:v>19</c:v>
                </c:pt>
                <c:pt idx="9">
                  <c:v>19</c:v>
                </c:pt>
                <c:pt idx="10">
                  <c:v>23</c:v>
                </c:pt>
                <c:pt idx="11">
                  <c:v>23</c:v>
                </c:pt>
                <c:pt idx="12">
                  <c:v>27</c:v>
                </c:pt>
                <c:pt idx="13">
                  <c:v>27</c:v>
                </c:pt>
                <c:pt idx="14">
                  <c:v>31</c:v>
                </c:pt>
                <c:pt idx="15">
                  <c:v>31</c:v>
                </c:pt>
              </c:numCache>
            </c:numRef>
          </c:xVal>
          <c:yVal>
            <c:numRef>
              <c:f>'[DR VS CD (variables) (1).xlsx]Boxplot (1)'!$AF$1000:$AF$1015</c:f>
              <c:numCache>
                <c:formatCode>General</c:formatCode>
                <c:ptCount val="16"/>
                <c:pt idx="0">
                  <c:v>5.79</c:v>
                </c:pt>
                <c:pt idx="1">
                  <c:v>5.79</c:v>
                </c:pt>
                <c:pt idx="2">
                  <c:v>1.7984081707168584</c:v>
                </c:pt>
                <c:pt idx="3">
                  <c:v>1.7984081707168584</c:v>
                </c:pt>
                <c:pt idx="4">
                  <c:v>1.171585426059595</c:v>
                </c:pt>
                <c:pt idx="5">
                  <c:v>1.171585426059595</c:v>
                </c:pt>
                <c:pt idx="6">
                  <c:v>4.46</c:v>
                </c:pt>
                <c:pt idx="7">
                  <c:v>4.46</c:v>
                </c:pt>
                <c:pt idx="8">
                  <c:v>2.4927389352222598</c:v>
                </c:pt>
                <c:pt idx="9">
                  <c:v>2.4927389352222598</c:v>
                </c:pt>
                <c:pt idx="10">
                  <c:v>1.1245202876095259</c:v>
                </c:pt>
                <c:pt idx="11">
                  <c:v>1.1245202876095259</c:v>
                </c:pt>
                <c:pt idx="12">
                  <c:v>1.9207204043515913</c:v>
                </c:pt>
                <c:pt idx="13">
                  <c:v>1.9207204043515913</c:v>
                </c:pt>
                <c:pt idx="14">
                  <c:v>3.9952014706493117</c:v>
                </c:pt>
                <c:pt idx="15">
                  <c:v>3.9952014706493117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9-D54D-44E8-9ADF-7B30673FF451}"/>
            </c:ext>
          </c:extLst>
        </c:ser>
        <c:ser>
          <c:idx val="10"/>
          <c:order val="10"/>
          <c:tx>
            <c:v>75th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>
                <a:solidFill>
                  <a:schemeClr val="accent5">
                    <a:lumMod val="60000"/>
                  </a:schemeClr>
                </a:solidFill>
                <a:round/>
              </a:ln>
              <a:effectLst/>
            </c:spPr>
          </c:marker>
          <c:xVal>
            <c:numRef>
              <c:f>'[DR VS CD (variables) (1).xlsx]Boxplot (1)'!$AD$1000:$AD$1015</c:f>
              <c:numCache>
                <c:formatCode>General</c:formatCode>
                <c:ptCount val="16"/>
                <c:pt idx="0">
                  <c:v>3</c:v>
                </c:pt>
                <c:pt idx="1">
                  <c:v>3</c:v>
                </c:pt>
                <c:pt idx="2">
                  <c:v>7</c:v>
                </c:pt>
                <c:pt idx="3">
                  <c:v>7</c:v>
                </c:pt>
                <c:pt idx="4">
                  <c:v>11</c:v>
                </c:pt>
                <c:pt idx="5">
                  <c:v>11</c:v>
                </c:pt>
                <c:pt idx="6">
                  <c:v>15</c:v>
                </c:pt>
                <c:pt idx="7">
                  <c:v>15</c:v>
                </c:pt>
                <c:pt idx="8">
                  <c:v>19</c:v>
                </c:pt>
                <c:pt idx="9">
                  <c:v>19</c:v>
                </c:pt>
                <c:pt idx="10">
                  <c:v>23</c:v>
                </c:pt>
                <c:pt idx="11">
                  <c:v>23</c:v>
                </c:pt>
                <c:pt idx="12">
                  <c:v>27</c:v>
                </c:pt>
                <c:pt idx="13">
                  <c:v>27</c:v>
                </c:pt>
                <c:pt idx="14">
                  <c:v>31</c:v>
                </c:pt>
                <c:pt idx="15">
                  <c:v>31</c:v>
                </c:pt>
              </c:numCache>
            </c:numRef>
          </c:xVal>
          <c:yVal>
            <c:numRef>
              <c:f>'[DR VS CD (variables) (1).xlsx]Boxplot (1)'!$AE$1000:$AE$1015</c:f>
              <c:numCache>
                <c:formatCode>General</c:formatCode>
                <c:ptCount val="16"/>
                <c:pt idx="0">
                  <c:v>6.6824999999999983</c:v>
                </c:pt>
                <c:pt idx="1">
                  <c:v>6.6824999999999983</c:v>
                </c:pt>
                <c:pt idx="2">
                  <c:v>5.3725000000000005</c:v>
                </c:pt>
                <c:pt idx="3">
                  <c:v>5.3725000000000005</c:v>
                </c:pt>
                <c:pt idx="4">
                  <c:v>2.6465175244221282</c:v>
                </c:pt>
                <c:pt idx="5">
                  <c:v>2.6465175244221282</c:v>
                </c:pt>
                <c:pt idx="6">
                  <c:v>4.7</c:v>
                </c:pt>
                <c:pt idx="7">
                  <c:v>4.7</c:v>
                </c:pt>
                <c:pt idx="8">
                  <c:v>4.2611241342106121</c:v>
                </c:pt>
                <c:pt idx="9">
                  <c:v>4.2611241342106121</c:v>
                </c:pt>
                <c:pt idx="10">
                  <c:v>2.4080821745543406</c:v>
                </c:pt>
                <c:pt idx="11">
                  <c:v>2.4080821745543406</c:v>
                </c:pt>
                <c:pt idx="12">
                  <c:v>5.1949999999999976</c:v>
                </c:pt>
                <c:pt idx="13">
                  <c:v>5.1949999999999976</c:v>
                </c:pt>
                <c:pt idx="14">
                  <c:v>6.89</c:v>
                </c:pt>
                <c:pt idx="15">
                  <c:v>6.89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A-D54D-44E8-9ADF-7B30673FF451}"/>
            </c:ext>
          </c:extLst>
        </c:ser>
        <c:ser>
          <c:idx val="11"/>
          <c:order val="11"/>
          <c:tx>
            <c:v>Mean</c:v>
          </c:tx>
          <c:spPr>
            <a:ln w="9525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'[DR VS CD (variables) (1).xlsx]Boxplot (1)'!$N$1000:$N$1015</c:f>
              <c:numCache>
                <c:formatCode>General</c:formatCode>
                <c:ptCount val="16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10</c:v>
                </c:pt>
                <c:pt idx="5">
                  <c:v>12</c:v>
                </c:pt>
                <c:pt idx="6">
                  <c:v>14</c:v>
                </c:pt>
                <c:pt idx="7">
                  <c:v>16</c:v>
                </c:pt>
                <c:pt idx="8">
                  <c:v>18</c:v>
                </c:pt>
                <c:pt idx="9">
                  <c:v>20</c:v>
                </c:pt>
                <c:pt idx="10">
                  <c:v>22</c:v>
                </c:pt>
                <c:pt idx="11">
                  <c:v>24</c:v>
                </c:pt>
                <c:pt idx="12">
                  <c:v>26</c:v>
                </c:pt>
                <c:pt idx="13">
                  <c:v>28</c:v>
                </c:pt>
                <c:pt idx="14">
                  <c:v>30</c:v>
                </c:pt>
                <c:pt idx="15">
                  <c:v>32</c:v>
                </c:pt>
              </c:numCache>
            </c:numRef>
          </c:xVal>
          <c:yVal>
            <c:numRef>
              <c:f>'[DR VS CD (variables) (1).xlsx]Boxplot (1)'!$P$1000:$P$1015</c:f>
              <c:numCache>
                <c:formatCode>General</c:formatCode>
                <c:ptCount val="16"/>
                <c:pt idx="0">
                  <c:v>6.1199999999999983</c:v>
                </c:pt>
                <c:pt idx="1">
                  <c:v>6.1199999999999983</c:v>
                </c:pt>
                <c:pt idx="2">
                  <c:v>3.1272768741312431</c:v>
                </c:pt>
                <c:pt idx="3">
                  <c:v>3.1272768741312431</c:v>
                </c:pt>
                <c:pt idx="4">
                  <c:v>1.8295539387280395</c:v>
                </c:pt>
                <c:pt idx="5">
                  <c:v>1.8295539387280395</c:v>
                </c:pt>
                <c:pt idx="6">
                  <c:v>4.5757142857142865</c:v>
                </c:pt>
                <c:pt idx="7">
                  <c:v>4.5757142857142865</c:v>
                </c:pt>
                <c:pt idx="8">
                  <c:v>3.4064617499382797</c:v>
                </c:pt>
                <c:pt idx="9">
                  <c:v>3.4064617499382797</c:v>
                </c:pt>
                <c:pt idx="10">
                  <c:v>1.7473571153914129</c:v>
                </c:pt>
                <c:pt idx="11">
                  <c:v>1.7473571153914129</c:v>
                </c:pt>
                <c:pt idx="12">
                  <c:v>3.7300018600768312</c:v>
                </c:pt>
                <c:pt idx="13">
                  <c:v>3.7300018600768312</c:v>
                </c:pt>
                <c:pt idx="14">
                  <c:v>5.3360177724945661</c:v>
                </c:pt>
                <c:pt idx="15">
                  <c:v>5.3360177724945661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B-D54D-44E8-9ADF-7B30673FF451}"/>
            </c:ext>
          </c:extLst>
        </c:ser>
        <c:axId val="1004013440"/>
        <c:axId val="1004014976"/>
      </c:scatterChart>
      <c:valAx>
        <c:axId val="1004013440"/>
        <c:scaling>
          <c:orientation val="minMax"/>
          <c:max val="32"/>
          <c:min val="0"/>
        </c:scaling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one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4014976"/>
        <c:crossesAt val="0"/>
        <c:crossBetween val="midCat"/>
      </c:valAx>
      <c:valAx>
        <c:axId val="1004014976"/>
        <c:scaling>
          <c:orientation val="minMax"/>
          <c:max val="10"/>
          <c:min val="0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Time (Days)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401344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ayout>
        <c:manualLayout>
          <c:xMode val="edge"/>
          <c:yMode val="edge"/>
          <c:x val="0.3019651016922244"/>
          <c:y val="0.1036286512573026"/>
          <c:w val="0.47583917676144682"/>
          <c:h val="5.4435864871729758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barChart>
        <c:barDir val="col"/>
        <c:grouping val="clustered"/>
        <c:ser>
          <c:idx val="0"/>
          <c:order val="0"/>
          <c:spPr>
            <a:solidFill>
              <a:srgbClr val="993366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0" i="0"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'Adv Pareto (2)'!$B$1000:$I$1000</c:f>
              <c:strCache>
                <c:ptCount val="8"/>
                <c:pt idx="0">
                  <c:v>Prod Volume</c:v>
                </c:pt>
                <c:pt idx="1">
                  <c:v>Exploration</c:v>
                </c:pt>
                <c:pt idx="2">
                  <c:v>Balances</c:v>
                </c:pt>
                <c:pt idx="3">
                  <c:v>Demand Volume</c:v>
                </c:pt>
                <c:pt idx="4">
                  <c:v>Capex</c:v>
                </c:pt>
                <c:pt idx="5">
                  <c:v>Opex</c:v>
                </c:pt>
                <c:pt idx="6">
                  <c:v>Demand Prices</c:v>
                </c:pt>
                <c:pt idx="7">
                  <c:v>Inventory</c:v>
                </c:pt>
              </c:strCache>
            </c:strRef>
          </c:cat>
          <c:val>
            <c:numRef>
              <c:f>'Adv Pareto (2)'!$B$1001:$I$1001</c:f>
              <c:numCache>
                <c:formatCode>General</c:formatCode>
                <c:ptCount val="8"/>
                <c:pt idx="0">
                  <c:v>362.84920852963046</c:v>
                </c:pt>
                <c:pt idx="1">
                  <c:v>47.690464499135899</c:v>
                </c:pt>
                <c:pt idx="2">
                  <c:v>36.720000000000013</c:v>
                </c:pt>
                <c:pt idx="3">
                  <c:v>32.030000000000008</c:v>
                </c:pt>
                <c:pt idx="4">
                  <c:v>31.272768741312433</c:v>
                </c:pt>
                <c:pt idx="5">
                  <c:v>22.380011160460988</c:v>
                </c:pt>
                <c:pt idx="6">
                  <c:v>16.465985448552352</c:v>
                </c:pt>
                <c:pt idx="7">
                  <c:v>10.484142692348479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89-4E78-A1D4-7019A92344E7}"/>
            </c:ext>
          </c:extLst>
        </c:ser>
        <c:axId val="492782336"/>
        <c:axId val="492783872"/>
      </c:barChart>
      <c:lineChart>
        <c:grouping val="standard"/>
        <c:ser>
          <c:idx val="1"/>
          <c:order val="1"/>
          <c:spPr>
            <a:ln w="12700">
              <a:solidFill>
                <a:srgbClr val="000080"/>
              </a:solidFill>
              <a:prstDash val="solid"/>
            </a:ln>
            <a:effectLst/>
          </c:spPr>
          <c:marker>
            <c:symbol val="diamond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'Adv Pareto (2)'!$B$1000:$I$1000</c:f>
              <c:strCache>
                <c:ptCount val="8"/>
                <c:pt idx="0">
                  <c:v>Prod Volume</c:v>
                </c:pt>
                <c:pt idx="1">
                  <c:v>Exploration</c:v>
                </c:pt>
                <c:pt idx="2">
                  <c:v>Balances</c:v>
                </c:pt>
                <c:pt idx="3">
                  <c:v>Demand Volume</c:v>
                </c:pt>
                <c:pt idx="4">
                  <c:v>Capex</c:v>
                </c:pt>
                <c:pt idx="5">
                  <c:v>Opex</c:v>
                </c:pt>
                <c:pt idx="6">
                  <c:v>Demand Prices</c:v>
                </c:pt>
                <c:pt idx="7">
                  <c:v>Inventory</c:v>
                </c:pt>
              </c:strCache>
            </c:strRef>
          </c:cat>
          <c:val>
            <c:numRef>
              <c:f>'Adv Pareto (2)'!$B$1002:$I$1002</c:f>
              <c:numCache>
                <c:formatCode>0%</c:formatCode>
                <c:ptCount val="8"/>
                <c:pt idx="0">
                  <c:v>0.64806932757576952</c:v>
                </c:pt>
                <c:pt idx="1">
                  <c:v>0.73324721010436611</c:v>
                </c:pt>
                <c:pt idx="2">
                  <c:v>0.79883121896858567</c:v>
                </c:pt>
                <c:pt idx="3">
                  <c:v>0.85603862103614914</c:v>
                </c:pt>
                <c:pt idx="4">
                  <c:v>0.91189356499962693</c:v>
                </c:pt>
                <c:pt idx="5">
                  <c:v>0.95186553804780272</c:v>
                </c:pt>
                <c:pt idx="6">
                  <c:v>0.9812747247475837</c:v>
                </c:pt>
                <c:pt idx="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F89-4E78-A1D4-7019A92344E7}"/>
            </c:ext>
          </c:extLst>
        </c:ser>
        <c:marker val="1"/>
        <c:axId val="492791680"/>
        <c:axId val="492790144"/>
      </c:lineChart>
      <c:catAx>
        <c:axId val="4927823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AU"/>
                  <a:t>Report Type</a:t>
                </a:r>
              </a:p>
            </c:rich>
          </c:tx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492783872"/>
        <c:crosses val="autoZero"/>
        <c:lblAlgn val="ctr"/>
        <c:lblOffset val="100"/>
        <c:tickLblSkip val="1"/>
        <c:tickMarkSkip val="1"/>
      </c:catAx>
      <c:valAx>
        <c:axId val="492783872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1000" b="1" i="0">
                    <a:latin typeface="Arial"/>
                    <a:ea typeface="Arial"/>
                    <a:cs typeface="Arial"/>
                  </a:defRPr>
                </a:pPr>
                <a:r>
                  <a:rPr lang="en-AU"/>
                  <a:t>Time (Days)</a:t>
                </a:r>
              </a:p>
            </c:rich>
          </c:tx>
        </c:title>
        <c:numFmt formatCode="General" sourceLinked="1"/>
        <c:tickLblPos val="nextTo"/>
        <c:crossAx val="492782336"/>
        <c:crosses val="autoZero"/>
        <c:crossBetween val="between"/>
      </c:valAx>
      <c:valAx>
        <c:axId val="492790144"/>
        <c:scaling>
          <c:orientation val="minMax"/>
          <c:max val="1"/>
          <c:min val="0"/>
        </c:scaling>
        <c:axPos val="r"/>
        <c:numFmt formatCode="0%" sourceLinked="0"/>
        <c:tickLblPos val="nextTo"/>
        <c:crossAx val="492791680"/>
        <c:crosses val="max"/>
        <c:crossBetween val="between"/>
      </c:valAx>
      <c:catAx>
        <c:axId val="492791680"/>
        <c:scaling>
          <c:orientation val="minMax"/>
        </c:scaling>
        <c:delete val="1"/>
        <c:axPos val="b"/>
        <c:numFmt formatCode="General" sourceLinked="1"/>
        <c:tickLblPos val="none"/>
        <c:crossAx val="492790144"/>
        <c:crosses val="autoZero"/>
        <c:lblAlgn val="ctr"/>
        <c:lblOffset val="100"/>
      </c:cat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0.29415</cdr:x>
      <cdr:y>0.64669</cdr:y>
    </cdr:from>
    <cdr:to>
      <cdr:x>0.40041</cdr:x>
      <cdr:y>0.69194</cdr:y>
    </cdr:to>
    <cdr:sp macro="" textlink="">
      <cdr:nvSpPr>
        <cdr:cNvPr id="2" name="TextBox 3"/>
        <cdr:cNvSpPr txBox="1"/>
      </cdr:nvSpPr>
      <cdr:spPr>
        <a:xfrm xmlns:a="http://schemas.openxmlformats.org/drawingml/2006/main">
          <a:off x="1685925" y="2546018"/>
          <a:ext cx="609029" cy="178131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9525" cmpd="sng">
          <a:solidFill>
            <a:schemeClr val="lt1">
              <a:shade val="50000"/>
            </a:schemeClr>
          </a:solidFill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AU" sz="800">
              <a:solidFill>
                <a:srgbClr val="FF0000"/>
              </a:solidFill>
            </a:rPr>
            <a:t>Count = 9</a:t>
          </a:r>
        </a:p>
      </cdr:txBody>
    </cdr:sp>
  </cdr:relSizeAnchor>
  <cdr:relSizeAnchor xmlns:cdr="http://schemas.openxmlformats.org/drawingml/2006/chartDrawing">
    <cdr:from>
      <cdr:x>0.40716</cdr:x>
      <cdr:y>0.47628</cdr:y>
    </cdr:from>
    <cdr:to>
      <cdr:x>0.51222</cdr:x>
      <cdr:y>0.51532</cdr:y>
    </cdr:to>
    <cdr:sp macro="" textlink="">
      <cdr:nvSpPr>
        <cdr:cNvPr id="3" name="TextBox 3"/>
        <cdr:cNvSpPr txBox="1"/>
      </cdr:nvSpPr>
      <cdr:spPr>
        <a:xfrm xmlns:a="http://schemas.openxmlformats.org/drawingml/2006/main">
          <a:off x="2333625" y="1875114"/>
          <a:ext cx="602169" cy="153711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9525" cmpd="sng">
          <a:solidFill>
            <a:schemeClr val="lt1">
              <a:shade val="50000"/>
            </a:schemeClr>
          </a:solidFill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AU" sz="800">
              <a:solidFill>
                <a:srgbClr val="FF0000"/>
              </a:solidFill>
            </a:rPr>
            <a:t>Count = 7</a:t>
          </a:r>
        </a:p>
      </cdr:txBody>
    </cdr:sp>
  </cdr:relSizeAnchor>
  <cdr:relSizeAnchor xmlns:cdr="http://schemas.openxmlformats.org/drawingml/2006/chartDrawing">
    <cdr:from>
      <cdr:x>0.52091</cdr:x>
      <cdr:y>0.42385</cdr:y>
    </cdr:from>
    <cdr:to>
      <cdr:x>0.63483</cdr:x>
      <cdr:y>0.48387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985601" y="1668697"/>
          <a:ext cx="652949" cy="236303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9525" cmpd="sng">
          <a:solidFill>
            <a:schemeClr val="lt1">
              <a:shade val="50000"/>
            </a:schemeClr>
          </a:solidFill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AU" sz="800">
              <a:solidFill>
                <a:srgbClr val="FF0000"/>
              </a:solidFill>
            </a:rPr>
            <a:t>Count = 14</a:t>
          </a:r>
        </a:p>
      </cdr:txBody>
    </cdr:sp>
  </cdr:relSizeAnchor>
  <cdr:relSizeAnchor xmlns:cdr="http://schemas.openxmlformats.org/drawingml/2006/chartDrawing">
    <cdr:from>
      <cdr:x>0.61988</cdr:x>
      <cdr:y>0.60242</cdr:y>
    </cdr:from>
    <cdr:to>
      <cdr:x>0.73454</cdr:x>
      <cdr:y>0.64113</cdr:y>
    </cdr:to>
    <cdr:sp macro="" textlink="">
      <cdr:nvSpPr>
        <cdr:cNvPr id="5" name="TextBox 3"/>
        <cdr:cNvSpPr txBox="1"/>
      </cdr:nvSpPr>
      <cdr:spPr>
        <a:xfrm xmlns:a="http://schemas.openxmlformats.org/drawingml/2006/main">
          <a:off x="3552825" y="2371724"/>
          <a:ext cx="657225" cy="152401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9525" cmpd="sng">
          <a:solidFill>
            <a:schemeClr val="lt1">
              <a:shade val="50000"/>
            </a:schemeClr>
          </a:solidFill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AU" sz="800">
              <a:solidFill>
                <a:srgbClr val="FF0000"/>
              </a:solidFill>
            </a:rPr>
            <a:t>Count</a:t>
          </a:r>
          <a:r>
            <a:rPr lang="en-AU" sz="900">
              <a:solidFill>
                <a:srgbClr val="FF0000"/>
              </a:solidFill>
            </a:rPr>
            <a:t> = 6</a:t>
          </a:r>
        </a:p>
      </cdr:txBody>
    </cdr:sp>
  </cdr:relSizeAnchor>
  <cdr:relSizeAnchor xmlns:cdr="http://schemas.openxmlformats.org/drawingml/2006/chartDrawing">
    <cdr:from>
      <cdr:x>0.73454</cdr:x>
      <cdr:y>0.41261</cdr:y>
    </cdr:from>
    <cdr:to>
      <cdr:x>0.83892</cdr:x>
      <cdr:y>0.45484</cdr:y>
    </cdr:to>
    <cdr:sp macro="" textlink="">
      <cdr:nvSpPr>
        <cdr:cNvPr id="6" name="TextBox 3"/>
        <cdr:cNvSpPr txBox="1"/>
      </cdr:nvSpPr>
      <cdr:spPr>
        <a:xfrm xmlns:a="http://schemas.openxmlformats.org/drawingml/2006/main">
          <a:off x="4210051" y="1624446"/>
          <a:ext cx="598228" cy="166254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9525" cmpd="sng">
          <a:solidFill>
            <a:schemeClr val="lt1">
              <a:shade val="50000"/>
            </a:schemeClr>
          </a:solidFill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AU" sz="800">
              <a:solidFill>
                <a:srgbClr val="FF0000"/>
              </a:solidFill>
            </a:rPr>
            <a:t>Count = 6</a:t>
          </a:r>
        </a:p>
      </cdr:txBody>
    </cdr:sp>
  </cdr:relSizeAnchor>
  <cdr:relSizeAnchor xmlns:cdr="http://schemas.openxmlformats.org/drawingml/2006/chartDrawing">
    <cdr:from>
      <cdr:x>0.84638</cdr:x>
      <cdr:y>0.16729</cdr:y>
    </cdr:from>
    <cdr:to>
      <cdr:x>0.97219</cdr:x>
      <cdr:y>0.21774</cdr:y>
    </cdr:to>
    <cdr:sp macro="" textlink="">
      <cdr:nvSpPr>
        <cdr:cNvPr id="7" name="TextBox 3"/>
        <cdr:cNvSpPr txBox="1"/>
      </cdr:nvSpPr>
      <cdr:spPr>
        <a:xfrm xmlns:a="http://schemas.openxmlformats.org/drawingml/2006/main">
          <a:off x="4851035" y="658621"/>
          <a:ext cx="721090" cy="198629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9525" cmpd="sng">
          <a:solidFill>
            <a:schemeClr val="lt1">
              <a:shade val="50000"/>
            </a:schemeClr>
          </a:solidFill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AU" sz="800">
              <a:solidFill>
                <a:srgbClr val="FF0000"/>
              </a:solidFill>
            </a:rPr>
            <a:t>Count = 68</a:t>
          </a:r>
        </a:p>
      </cdr:txBody>
    </cdr:sp>
  </cdr:relSizeAnchor>
  <cdr:relSizeAnchor xmlns:cdr="http://schemas.openxmlformats.org/drawingml/2006/chartDrawing">
    <cdr:from>
      <cdr:x>0.19998</cdr:x>
      <cdr:y>0.39346</cdr:y>
    </cdr:from>
    <cdr:to>
      <cdr:x>0.32406</cdr:x>
      <cdr:y>0.4379</cdr:y>
    </cdr:to>
    <cdr:sp macro="" textlink="">
      <cdr:nvSpPr>
        <cdr:cNvPr id="8" name="TextBox 3"/>
        <cdr:cNvSpPr txBox="1"/>
      </cdr:nvSpPr>
      <cdr:spPr>
        <a:xfrm xmlns:a="http://schemas.openxmlformats.org/drawingml/2006/main">
          <a:off x="1146175" y="1549068"/>
          <a:ext cx="711200" cy="174957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9525" cmpd="sng">
          <a:solidFill>
            <a:schemeClr val="lt1">
              <a:shade val="50000"/>
            </a:schemeClr>
          </a:solidFill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AU" sz="800">
              <a:solidFill>
                <a:srgbClr val="FF0000"/>
              </a:solidFill>
            </a:rPr>
            <a:t>Count = 10</a:t>
          </a:r>
        </a:p>
      </cdr:txBody>
    </cdr:sp>
  </cdr:relSizeAnchor>
  <cdr:relSizeAnchor xmlns:cdr="http://schemas.openxmlformats.org/drawingml/2006/chartDrawing">
    <cdr:from>
      <cdr:x>0.08531</cdr:x>
      <cdr:y>0.28459</cdr:y>
    </cdr:from>
    <cdr:to>
      <cdr:x>0.19157</cdr:x>
      <cdr:y>0.32984</cdr:y>
    </cdr:to>
    <cdr:sp macro="" textlink="">
      <cdr:nvSpPr>
        <cdr:cNvPr id="9" name="TextBox 3"/>
        <cdr:cNvSpPr txBox="1"/>
      </cdr:nvSpPr>
      <cdr:spPr>
        <a:xfrm xmlns:a="http://schemas.openxmlformats.org/drawingml/2006/main">
          <a:off x="488950" y="1120443"/>
          <a:ext cx="609029" cy="178131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9525" cmpd="sng">
          <a:solidFill>
            <a:schemeClr val="lt1">
              <a:shade val="50000"/>
            </a:schemeClr>
          </a:solidFill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AU" sz="800">
              <a:solidFill>
                <a:srgbClr val="FF0000"/>
              </a:solidFill>
            </a:rPr>
            <a:t>Count = 6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University of Technology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Chidinma Jennifer Nwachukwu</dc:creator>
  <cp:lastModifiedBy>chidy</cp:lastModifiedBy>
  <cp:revision>2</cp:revision>
  <dcterms:created xsi:type="dcterms:W3CDTF">2019-05-27T15:53:00Z</dcterms:created>
  <dcterms:modified xsi:type="dcterms:W3CDTF">2019-05-27T15:53:00Z</dcterms:modified>
</cp:coreProperties>
</file>